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4A_659/2011 vom 7. Dezember 2011</w:t>
      </w:r>
    </w:p>
    <w:p>
      <w:r>
        <w:t>Bundesgericht, 2011-12-07, FR</w:t>
      </w:r>
    </w:p>
    <w:p>
      <w:r>
        <w:rPr>
          <w:b/>
        </w:rPr>
        <w:t xml:space="preserve">Quelle: </w:t>
      </w:r>
      <w:r>
        <w:t>https://mcp.opencaselaw.ch/entscheid/bger_4A_659_2011</w:t>
      </w:r>
    </w:p>
    <w:p>
      <w:r>
        <w:t>FR: TF 4A_659/2011 du 7 décembre 2011</w:t>
      </w:r>
    </w:p>
    <w:p>
      <w:r>
        <w:t>IT: TF 4A_659/2011 del 7 dicembre 2011</w:t>
      </w:r>
    </w:p>
    <w:p>
      <w:pPr>
        <w:pStyle w:val="Heading2"/>
      </w:pPr>
      <w:r>
        <w:t>Erwägungen</w:t>
      </w:r>
    </w:p>
    <w:p>
      <w:r>
        <w:rPr>
          <w:b/>
        </w:rPr>
        <w:t>E. 1</w:t>
      </w:r>
    </w:p>
    <w:p>
      <w:r>
        <w:t>Le recours est dirigé contre un jugement final ( art. 90 LTF ), rendu en matière civile ( art. 72 al. 1 LTF ) et en dernière instance cantonale ( art. 75 al. 1 LTF ). Son auteur a pris part à l'instance précédente et succombé dans ses conclusions ( art. 76 al. 1 LTF ). La valeur litigieuse - égale à 24'931 fr.85 moins 5'845 fr.30, soit 19'086 fr.55 - excède le minimum légal de 15'000 fr. prévu en matière de droit du travail (art. 51 al. 1 let. a et 74 al. 1 let. a LTF); le mémoire de recours a été introduit en temps utile ( art. 100 al. 1 LTF ) et il satisfait aux exigences légales (art. 42 al. 1 à 3 LTF).</w:t>
      </w:r>
    </w:p>
    <w:p>
      <w:r>
        <w:t>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135 III 397 consid. 1.4 p. 400; 133 II 249 consid. 1.4.1 p. 254), et il ne se prononce sur la violation de droits fondamentaux que s'il se trouve saisi d'un grief invoqué et motivé de façon détaillée ( art. 106 al. 2 LTF ; ATF 134 I 83 consid. 3.2 p. 88; 134 II 244 consid. 2.2 p. 246; 133 II 249 consid. 1.4.2). Il conduit son raisonnement juridique sur la base des faits constatés dans la décision attaquée ( art. 105 al. 1 LTF ).</w:t>
      </w:r>
    </w:p>
    <w:p>
      <w:r>
        <w:rPr>
          <w:b/>
        </w:rPr>
        <w:t>E. 2</w:t>
      </w:r>
    </w:p>
    <w:p>
      <w:r>
        <w:t>Le procès a débuté avant le 1er janvier 2011 et, ainsi, avant l'entrée en vigueur du code de procédure civile unifié (CPC). Cependant, il est incontesté que l'appel est soumis à ce code selon l' art. 405 al. 1 CPC , parce que le jugement de première instance est intervenu et a été communiqué après cette date.</w:t>
      </w:r>
    </w:p>
    <w:p>
      <w:r>
        <w:rPr>
          <w:b/>
        </w:rPr>
        <w:t>E. 3</w:t>
      </w:r>
    </w:p>
    <w:p>
      <w:r>
        <w:t>A teneur de l' art. 311 al. 1 CPC , l'appel doit être introduit par un acte écrit et motivé.</w:t>
      </w:r>
    </w:p>
    <w:p>
      <w:r>
        <w:t>Selon l'arrêt attaqué, la partie appelante doit indiquer les points du jugement de première instance qu'elle estime entachés d'erreur et elle doit présenter ses griefs de violation du droit et de constatation inexacte des faits. Dans les causes soumises à la procédure simplifiée, selon l' art. 243 CPC , la motivation de l'appel peut être brève et succincte; néanmoins, un renvoi aux actes de procédure antérieurs n'est pas suffisant.</w:t>
      </w:r>
    </w:p>
    <w:p>
      <w:r>
        <w:t>Sur ce dernier point, l'opinion de la Cour correspond à la jurisprudence concernant la motivation des recours adressés au Tribunal fédéral: celle-ci n'autorise pas les renvois à une écriture antérieure ( art. 42 al. 1 LTF ; ATF 131 III 384 consid. 2.3 p. 387/388; 126 III 198 consid. 1d p. 201). Il se justifie que la motivation de l'appel soit soumise à la même règle (parmi d'autres auteurs: Peter Reetz et Stefanie Theiler, in Kommentar zur Schweizerischen Zivilprozessordnung, Thomas Sutter-Somm et al., 2010, n° 38 ad art. 311 CPC ; opinion contraire: Beat Mathys, in Schweizerische Zivilprozessordnung, Baker &amp; McKenzie, 2010, n° 19 ad art. 311 CPC ). En l'espèce, l'appel est donc irrecevable, faute de motivation, en tant que le demandeur persiste à réclamer le paiement d'heures de travail supplémentaires ou le versement d'indemnités de vacances excédant le montant alloué par le Tribunal de prud'hommes.</w:t>
      </w:r>
    </w:p>
    <w:p>
      <w:r>
        <w:rPr>
          <w:b/>
        </w:rPr>
        <w:t>E. 4</w:t>
      </w:r>
    </w:p>
    <w:p>
      <w:r>
        <w:t>Quoique la loi soit silencieuse sur ce point, l'acte d'appel doit contenir non seulement une motivation mais aussi des conclusions (Reetz/ Theiler, op. cit., n° 34 ad art. 311 CPC ), car à tous les stades d'un procès raisonnablement ordonné, il s'impose d'articuler ce à quoi on prétend (requête de conciliation: art. 202 al. 2 CPC ; demande ordinaire: art. 221 al. 1 let. b CPC ; demande simplifiée: art. 244 al. 1 let. b CPC ; recours en matière civile devant le Tribunal fédéral: art. 42 al. 1 LTF ).</w:t>
      </w:r>
    </w:p>
    <w:p>
      <w:r>
        <w:t>En l'occurrence, le demandeur réclame que le montant alloué par les premiers juges soit augmenté à 24'931 fr.85 en capital.</w:t>
      </w:r>
    </w:p>
    <w:p>
      <w:r>
        <w:t>La Cour de justice retient que les conclusions ainsi présentées ne peuvent se rapporter qu'au paiement d'heures de travail supplémentaires ou au versement d'indemnités de vacances, cela parce que lesdites conclusions coïncident avec celles de la demande initialement introduite devant le Tribunal de prud'hommes, et que cette demande portait sur ces prétentions.</w:t>
      </w:r>
    </w:p>
    <w:p>
      <w:r>
        <w:t>Cette approche est indûment restrictive. On ne saurait exclure d'emblée que la motivation effectivement développée dans le mémoire d'appel puisse conduire le demandeur à obtenir, dans la limite de ses conclusions d'appel, ce qui était l'objet de sa demande additionnelle, soit quelque chose d'autre que le paiement d'heures de travail supplémentaires ou le versement d'indemnités de vacances. A lui seul, le montant des conclusions d'appel n'a pas pour effet de délimiter ni de fixer le fondement juridique de la prétention en cause.</w:t>
      </w:r>
    </w:p>
    <w:p>
      <w:r>
        <w:t>Toutefois, la motivation développée dans le mémoire d'appel, relative à la computation du délai de congé, se révèle elle aussi insuffisante. Il est constant que dès le début de ce délai de congé, le 18 juin 2008, le demandeur est entré dans une longue période d'incapacité de travail, ou s'est durablement prétendu en incapacité de travail. Le jugement de première instance indique sans équivoque que le droit au salaire en cas d'incapacité de travail, en principe régi par l' art. 324a al. 1 et 2 CO , était remplacé par une couverture d'assurance conformément à l' art. 324a al. 4 CO . L'argumentation relative au délai de congé ne pouvait donc pas prospérer à elle seule; le demandeur devait aussi se confronter à ce point du jugement et tenter de le réfuter (cf. Reetz/ Theiler, op. cit., n° 36 ad art. 311 CPC ). Avec la critique du calcul du délai, il fallait indiquer en quoi une rectification pouvait influer sur les obligations de l'employeuse. A cet égard, la motivation présentée était lacunaire et la Cour de justice pouvait donc refuser l'entrée en matière. Il s'ensuit que dans son résultat au moins, l'arrêt attaqué est conforme à l' art. 311 al. 1 CPC .</w:t>
      </w:r>
    </w:p>
    <w:p>
      <w:r>
        <w:rPr>
          <w:b/>
        </w:rPr>
        <w:t>E. 5</w:t>
      </w:r>
    </w:p>
    <w:p>
      <w:r>
        <w:t>Le demandeur soutient qu'en application de l' art. 132 al. 1 et 2 CPC , la Cour de justice aurait dû lui donner l'occasion de compléter son mémoire d'appel.</w:t>
      </w:r>
    </w:p>
    <w:p>
      <w:r>
        <w:t>Ces deux dispositions concernent en général les actes de procédure des parties. S'il y a lieu, à réception d'un acte, le tribunal fixe un délai pour la rectification des vices de forme tels que l'absence de signature ou de procuration (al. 1), ou pour la correction des actes illisibles, inconvenants, incompréhensibles ou prolixes (al. 2).</w:t>
      </w:r>
    </w:p>
    <w:p>
      <w:r>
        <w:t>L' art. 132 al. 1 CPC permet de réparer certaines inadvertances qui surviennent parfois lors du dépôt d'un acte. Il se rapporte textuellement à des vices de forme; le plaideur ne peut donc pas s'en prévaloir afin de remédier aux éventuelles insuffisances de ses moyens au fond (Reetz/Theiler, op. cit., n° 33 ad art. 311 CPC ; Adrian Staehelin, dans le même commentaire, n° 4 ad art. 132 CPC ; opinion contraire: Isaak Meier, Schweizerisches Zivilprozessrecht, 2010, p. 503).</w:t>
      </w:r>
    </w:p>
    <w:p>
      <w:r>
        <w:t>L' art. 132 al. 2 CPC permet de réparer certains manquements typiques des plaideurs qui procèdent sans l'assistance d'un avocat. Il n'est pas non plus destiné à permettre le complètement de moyens par ailleurs correctement présentés (Reetz/Theiler et Staehelin, loc. cit.).</w:t>
      </w:r>
    </w:p>
    <w:p>
      <w:r>
        <w:t>Les deux règles sont semblables, respectivement, à l'art. 42 al. 5 et à l' art. 42 al. 6 LTF concernant les actes adressés au Tribunal fédéral. Là également, il y a lieu de s'en tenir à la jurisprudence relative à ces dispositions-ci, selon laquelle le plaideur n'a pas le droit d'obtenir un délai supplémentaire pour compléter ou corriger la motivation d'un recours ( ATF 134 II 244 consid. 2.4.2 et 2.4.3 p. 247). La Cour de justice n'était donc pas tenue d'accorder un pareil délai pour compléter la motivation de l'appel.</w:t>
      </w:r>
    </w:p>
    <w:p>
      <w:r>
        <w:rPr>
          <w:b/>
        </w:rPr>
        <w:t>E. 6</w:t>
      </w:r>
    </w:p>
    <w:p>
      <w:r>
        <w:t>Le demandeur invoque vainement la protection contre l'arbitraire, la garantie d'un procès équitable et la protection contre le formalisme excessif conférées par les art. 9 et 29 Cst. Aucune de ces garanties constitutionnelles ne dispensent les plaideurs d'agir dans le respect des règles de procédure légitimement imposées dans l'intérêt d'une administration efficace de la justice et dans l'intérêt des autres parties au procès (cf. ATF 132 I 134 consid. 2.1 p. 137; 131 II 169 consid. 2.2.3 p. 173).</w:t>
      </w:r>
    </w:p>
    <w:p>
      <w:r>
        <w:rPr>
          <w:b/>
        </w:rPr>
        <w:t>E. 7</w:t>
      </w:r>
    </w:p>
    <w:p>
      <w:r>
        <w:t>Le recours se révèle privé de fondement, ce qui conduit à son rejet. A titre de partie qui succombe, son auteur doit acquitter l'émolument à percevoir par le Tribunal fédéral. L'adverse partie n'a pas été invitée à répondre et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