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4A_656/2025 vom 3. Februar 2026</w:t>
      </w:r>
    </w:p>
    <w:p>
      <w:r>
        <w:t>Bundesgericht, 2026-02-03, FR</w:t>
      </w:r>
    </w:p>
    <w:p>
      <w:r>
        <w:rPr>
          <w:b/>
        </w:rPr>
        <w:t xml:space="preserve">Quelle: </w:t>
      </w:r>
      <w:r>
        <w:t>https://mcp.opencaselaw.ch/entscheid/bger_4A_656_2025</w:t>
      </w:r>
    </w:p>
    <w:p>
      <w:r>
        <w:t>FR: TF 4A_656/2025 du 3 février 2026</w:t>
      </w:r>
    </w:p>
    <w:p>
      <w:r>
        <w:t>IT: TF 4A_656/2025 del 3 febbraio 2026</w:t>
      </w:r>
    </w:p>
    <w:p>
      <w:pPr>
        <w:pStyle w:val="Heading2"/>
      </w:pPr>
      <w:r>
        <w:t>Erwägungen</w:t>
      </w:r>
    </w:p>
    <w:p>
      <w:r>
        <w:rPr>
          <w:b/>
        </w:rPr>
        <w:t>E. 1</w:t>
      </w:r>
    </w:p>
    <w:p>
      <w:r>
        <w:t>Par jugement du 4 septembre 2025, le Tribunal des baux et loyers genevois a condamné A.________, C.________ Sàrl, D.________ et E.________ à évacuer immédiatement de leur personne et de leurs biens, ainsi que de toute autre personne dont ils étaient responsables, l'arcade située au rez-de-chaussée d'un immeuble sis à T.________, la bailleresse B.________ SA étant autorisée à requérir l'évacuation par la force publique des prénommés dès l'entrée en force dudit jugement.</w:t>
      </w:r>
    </w:p>
    <w:p>
      <w:r>
        <w:rPr>
          <w:b/>
        </w:rPr>
        <w:t>E. 2</w:t>
      </w:r>
    </w:p>
    <w:p>
      <w:r>
        <w:t>Par deux actes séparés déposés le 18 septembre 2025, A.________ a interjeté appel et recours contre ledit jugement.</w:t>
      </w:r>
    </w:p>
    <w:p>
      <w:r>
        <w:t>Par arrêt du 15 décembre 2025, la Chambre des baux et loyers de la Cour de justice du canton de Genève a déclaré irrecevables l'appel et le recours. En bref, elle a considéré que l'argumentation présentée par l'intéressé reposait sur des allégations irrecevables.</w:t>
      </w:r>
    </w:p>
    <w:p>
      <w:r>
        <w:rPr>
          <w:b/>
        </w:rPr>
        <w:t>E. 3</w:t>
      </w:r>
    </w:p>
    <w:p>
      <w:r>
        <w:t>Le 22 décembre 2025, A.________ (ci-après: le recourant) a formé un recours en matière civile, assorti d'une requête d'effet suspensif et de mesures provisionnelles, à l'encontre de cet arrêt.</w:t>
      </w:r>
    </w:p>
    <w:p>
      <w:r>
        <w:t>La requête d'effet suspensif et de mesures provisionnelles a été rejetée le 29 décembre 2025.</w:t>
      </w:r>
    </w:p>
    <w:p>
      <w:r>
        <w:t>B.________ SA (ci-après: l'intimée) et la cour cantonale n'ont pas été invitées à répondre au recours.</w:t>
      </w:r>
    </w:p>
    <w:p>
      <w:r>
        <w:rPr>
          <w:b/>
        </w:rPr>
        <w:t>E. 4</w:t>
      </w:r>
    </w:p>
    <w:p>
      <w:r>
        <w:t>Le Tribunal fédéral examine d'office et librement la recevabilité des recours qui lui sont soumis ( ATF 149 III 277 consid. 3.1 et les références citées).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Le présent recours ne satisfait manifestement pas aux exigences de motivation rappelées ci-dessus. Le recourant ne démontre nullement en quoi l'autorité précédente aurait enfreint le droit fédéral en déclarant irrecevables les actes introduits devant elle. On cherche en effet, en vain, dans le mémoire de recours, une critique digne de ce nom des considérations juridiques émises par l'autorité précédente pour justifier la solution retenue par elle. Le recourant affirme certes qu'il n'aurait pas bénéficié d'un " accès fiable à un dossier complet ". Semblable critique ne répond cependant pas aux exigences de motivation de l' art. 42 al. 2 LTF . Elle repose en outre sur des faits qui s'écartent de ceux constatés dans la décision attaquée. Il suit de là que le présent recours est irrecevable, ce qu'il convient de constater selon la procédure simplifiée de l' art. 108 al. 1 let. b LTF .</w:t>
      </w:r>
    </w:p>
    <w:p>
      <w:r>
        <w:rPr>
          <w:b/>
        </w:rPr>
        <w:t>E. 5</w:t>
      </w:r>
    </w:p>
    <w:p>
      <w:r>
        <w:t>Le recourant, qui succombe, supportera les frais de la procédure fédérale ( art. 66 al. 1 LTF ). L'intimée n'a pas droit à des dépens puisqu'elle n'a pas été invitée à déposer une réponse.</w:t>
      </w:r>
    </w:p>
    <w:p>
      <w:r>
        <w:t>Par ces motifs, le Juge présidant la I 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