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4A_656/2024 vom 30. Januar 2025</w:t>
      </w:r>
    </w:p>
    <w:p>
      <w:r>
        <w:t>Bundesgericht, 2025-01-30, DE</w:t>
      </w:r>
    </w:p>
    <w:p>
      <w:r>
        <w:rPr>
          <w:b/>
        </w:rPr>
        <w:t xml:space="preserve">Quelle: </w:t>
      </w:r>
      <w:r>
        <w:t>https://mcp.opencaselaw.ch/entscheid/bger_4A_656_2024</w:t>
      </w:r>
    </w:p>
    <w:p>
      <w:r>
        <w:t>FR: TF 4A_656/2024 du 30 janvier 2025</w:t>
      </w:r>
    </w:p>
    <w:p>
      <w:r>
        <w:t>IT: TF 4A_656/2024 del 30 gennaio 2025</w:t>
      </w:r>
    </w:p>
    <w:p>
      <w:pPr>
        <w:pStyle w:val="Heading2"/>
      </w:pPr>
      <w:r>
        <w:t>Erwägungen</w:t>
      </w:r>
    </w:p>
    <w:p>
      <w:r>
        <w:rPr>
          <w:b/>
        </w:rPr>
        <w:t>E. 1.1</w:t>
      </w:r>
    </w:p>
    <w:p>
      <w:r>
        <w:t>Mit Urteil vom 19. September 2024 erteilte das Bezirksgericht Pfäffikon den Beschwerdegegnern in der Betreibung Nr. xxx des Betreibungsamtes U.________ (Zahlungsbefehl vom 4. Juni 2024) definitive Rechtsöffnung für den Betrag von Fr. 157'000.--. Dagegen erhob der Beschwerdeführer Beschwerde an das Obergericht des Kantons Zürich. Das Obergericht trat mit Beschluss vom 4. November 2024 (RT240152-O/U) auf die Beschwerde nicht ein.</w:t>
      </w:r>
    </w:p>
    <w:p>
      <w:r>
        <w:rPr>
          <w:b/>
        </w:rPr>
        <w:t>E. 1.2</w:t>
      </w:r>
    </w:p>
    <w:p>
      <w:r>
        <w:t>Mit Urteil vom 19. September 2024 erteilte das Bezirksgericht Pfäffikon den Beschwerdegegnern sodann in der Betreibung Nr. yyy des Betreibungsamtes U.________ (Zahlungsbefehl vom 4. Juni 2024) definitive Rechtsöffnung für den Betrag von Fr. 340'000.--. Auch dagegen erhob der Beschwerdeführer Beschwerde an das Obergericht des Kantons Zürich. Das Obergericht trat mit Beschluss vom 4. November 2024 (RT240154-O/U) auf die Beschwerde nicht ein.</w:t>
      </w:r>
    </w:p>
    <w:p>
      <w:r>
        <w:rPr>
          <w:b/>
        </w:rPr>
        <w:t>E. 1.3</w:t>
      </w:r>
    </w:p>
    <w:p>
      <w:r>
        <w:t>Gegen diese beiden obergerichtlichen Beschlüsse erhebt der Beschwerdeführer mit Eingabe vom 9. Dezember 2024 Beschwerde an das Bundesgericht (Verfahren 4A_656/2024 und 4A_660/2024). Mit Verfügungen vom 13. Dezember 2024 wurde das Gesuch um Vereinigung der Beschwerdeverfahren derzeit abgewiesen und dem Beschwerdeführer mitgeteilt, dass über die Vereinigung nach Abschluss der Instruktionsphase erneut entschieden werde. Mit Eingabe vom 9. Januar 2024 stellte der Beschwerdeführer ein Gesuch um unentgeltliche Rechtspflege für die bundesgerichtlichen Verfahren. Auf das Einholen von Vernehmlassungen zu den Beschwerden wurde verzichtet.</w:t>
      </w:r>
    </w:p>
    <w:p>
      <w:r>
        <w:rPr>
          <w:b/>
        </w:rPr>
        <w:t>E. 2</w:t>
      </w:r>
    </w:p>
    <w:p>
      <w:r>
        <w:t>Der Beschwerdeführer richtet sich in einer Beschwerdeschrift gegen zwei Beschlüsse des Obergerichts des Kantons Zürich vom gleichen Tag, mit denen auf seine Beschwerden mit einer identischen Begründung nicht eingetreten wurde. Zudem sind die gleichen Parteien beteiligt. Es rechtfertigt sich daher, die beiden Verfahren 4A_656/2024 und 4A_660/2024 zu vereinigen und die Beschwerden in einem einzigen Entscheid zu behandeln.</w:t>
      </w:r>
    </w:p>
    <w:p>
      <w:r>
        <w:rPr>
          <w:b/>
        </w:rPr>
        <w:t>E. 3.1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Rechte die Vorinstanz mit ihren beiden Entscheiden inwiefern verletzt haben soll. Auf die Beschwerden ist somit mangels hinreichender Begründung nicht einzutreten ( Art. 108 Abs. 1 lit. b BGG ).</w:t>
      </w:r>
    </w:p>
    <w:p>
      <w:r>
        <w:rPr>
          <w:b/>
        </w:rPr>
        <w:t>E. 5</w:t>
      </w:r>
    </w:p>
    <w:p>
      <w:r>
        <w:t>Das Gesuch um Gewährung der unentgeltlichen Rechtspflege für die bundesgerichtlichen Verfahren ist abzuweisen, weil die Beschwerden als von vornherein aussichtslos erscheinen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behaupteten schwachen wirtschaftlichen Leistungsfähigkeit wird mit reduzierten Gerichtskosten von Fr. 500.-- für beide Verfahren Rechnung getragen. Den Beschwerdegegnern ist keine Parteientschädigung zuzusprechen ( Art. 68 Abs. 3 BGG ), zumal ihnen aus den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