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4A_655/2018 vom 3. Oktober 2019</w:t>
      </w:r>
    </w:p>
    <w:p>
      <w:r>
        <w:t>Bundesgericht, 2019-10-03, FR</w:t>
      </w:r>
    </w:p>
    <w:p>
      <w:r>
        <w:rPr>
          <w:b/>
        </w:rPr>
        <w:t xml:space="preserve">Quelle: </w:t>
      </w:r>
      <w:r>
        <w:t>https://mcp.opencaselaw.ch/entscheid/bger_4A_655_2018</w:t>
      </w:r>
    </w:p>
    <w:p>
      <w:r>
        <w:t>FR: TF 4A_655/2018 du 3 octobre 2019</w:t>
      </w:r>
    </w:p>
    <w:p>
      <w:r>
        <w:t>IT: TF 4A_655/2018 del 3 ottobre 2019</w:t>
      </w:r>
    </w:p>
    <w:p>
      <w:pPr>
        <w:pStyle w:val="Heading2"/>
      </w:pPr>
      <w:r>
        <w:t>Erwägungen</w:t>
      </w:r>
    </w:p>
    <w:p>
      <w:r>
        <w:rPr>
          <w:b/>
        </w:rPr>
        <w:t>E. 1</w:t>
      </w:r>
    </w:p>
    <w:p>
      <w:r>
        <w:t>L'arrêt attaqué est une décision finale ( art. 90 LTF ) rendue en matière civile ( art. 72 LTF ) par le tribunal supérieur désigné comme autorité cantonale de dernière instance, lequel a statué sur recours ( art. 75 LTF ). La cause atteint la valeur litigieuse minimale de 15'000 fr. ouvrant le recours en matière civile dans les affaires relevant du droit du travail ( art. 74 al. 1 let. a LTF ). Le recours a été déposé dans le délai ( art. 100 al. 1 LTF ) et la forme ( art. 42 LTF ) prévus par la loi. Il est en principe recevable, sous réserve de l'examen des griefs particuliers.</w:t>
      </w:r>
    </w:p>
    <w:p>
      <w:r>
        <w:t>L'arrêt entrepris confirme un jugement d'irrecevabilité. C'est à juste titre que le recourant conclut uniquement à son annulation et au renvoi de la cause à l'autorité précédente pour qu'elle entre en matière, des conclusions au fond n'étant pas admissibles dans un tel cas ( ATF 138 III 46 consid. 1.2 p. 48).</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264 consid. 2.3 p. 266,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L'employé a ouvert action contre B1.________ par la requête de conciliation du 23 février 2017. C'est contre cette association qu'il a été autorisé à procéder. La demande en paiement dont il a saisi le Tribunal des prud'hommes est toutefois dirigée contre B.________ SA, soit une personne morale distincte de l'association. Le demandeur l'a assortie d'une requête tendant à la rectification de la désignation de la partie défenderesse. Cette requête a été rejetée et la demande déclarée irrecevable, faute pour le demandeur d'avoir été préalablement autorisé à procéder à l'encontre de la société anonyme.</w:t>
      </w:r>
    </w:p>
    <w:p>
      <w:r>
        <w:t>Le recourant soutient qu'il a procédé dès le début contre cette dernière et que la désignation de la partie défenderesse aurait dû être rectifiée, ce qui lui a été refusé à tort.</w:t>
      </w:r>
    </w:p>
    <w:p>
      <w:r>
        <w:rPr>
          <w:b/>
        </w:rPr>
        <w:t>E. 4</w:t>
      </w:r>
    </w:p>
    <w:p>
      <w:r>
        <w:t>La désignation inexacte d'une partie - que ce soit de son nom ou de son siège - ne vise que l'inexactitude purement formelle, qui affecte sa capacité d'être partie. Même si elle correspond à un tiers qui existe réellement ( ATF 131 I 57 consid. 2.2 p. 63), une désignation erronée peut être rectifiée lorsque ne subsiste dans l'esprit du juge et des parties aucun doute raisonnable sur l'identité de la partie, notamment lorsque l'identité résulte de l'objet du litige (en procédure civile, cf. ATF 142 III 782 consid. 3.2.1 p. 787 et les arrêts cités; arrêts 4A_373/2018 du 13 mars 2019 consid. 2.2.1; 4A_635/2016 du 22 janvier 2018 consid. 3.1.1 non publié in ATF 144 III 93 ; en matière de poursuite pour dettes, cf. ATF 120 III 11 consid. 1b; 114 III 62 consid. 1a). Cela présuppose évidemment que la requête de conciliation, respectivement la demande, aient été effectivement communiquées à la partie qui a la qualité pour défendre, et non à un tiers, en d'autres termes qu'elle en ait eu connaissance, à défaut de quoi il n'est pas possible de lui imputer qu'elle aurait compris ou dû comprendre, selon les règles de la bonne foi, que l'action a été ouverte contre elle ( ATF 142 III 782 consid. 3.2.1 p. 787 et l'arrêt cité).</w:t>
      </w:r>
    </w:p>
    <w:p>
      <w:r>
        <w:t>Sous l'empire du CPC, il faut encore, pour que la désignation inexacte soit susceptible d'être rectifiée dans la procédure pendante (par exemple devant le tribunal saisi de la demande), que la partie désignée de manière inexacte ait comparu personnellement à l'audience de conciliation ( art. 204 CPC ), à défaut de quoi l'autorisation de procéder délivrée n'est pas valable et la demande déposée doit être déclarée irrecevable, une condition de recevabilité faisant défaut ( ATF 140 III 70 consid. 5 p. 74; 139 III 273 consid. 2.1).</w:t>
      </w:r>
    </w:p>
    <w:p>
      <w:r>
        <w:t>Lorsqu'il n'est plus possible de rectifier l'inexactitude dans la procédure en cours, il ne restera plus au demandeur que la possibilité d'introduire une nouvelle action ( ATF 142 III 782 consid. 3.2.1 p. 787).</w:t>
      </w:r>
    </w:p>
    <w:p>
      <w:r>
        <w:rPr>
          <w:b/>
        </w:rPr>
        <w:t>E. 5.1</w:t>
      </w:r>
    </w:p>
    <w:p>
      <w:r>
        <w:t>En l'espèce, la cour cantonale a retenu que la requête de conciliation avait été déposée à l'encontre de l'association, sur la base du contrat de travail conclu entre l'employé et cette entité. Ce contrat mentionnait en en-tête aussi bien l'association que la société anonyme. Les courriers échangés entre les parties l'étaient à l'adresse, respectivement au nom des deux entités. Il régnait dès lors une certaine confusion qui faisait obstacle à la rectification d'une erreur qui n'avait rien de purement formel. S'y ajoutait que la société anonyme n'avait pas reçu communication de la requête de conciliation; elle n'avait ainsi pas pu comprendre, selon les règles de la bonne foi, que l'action avait été ouverte contre elle. Selon la Chambre des prud'hommes, les conditions d'une rectification de la désignation de l'association à titre de partie défenderesse n'étaient ainsi pas remplies.</w:t>
      </w:r>
    </w:p>
    <w:p>
      <w:r>
        <w:rPr>
          <w:b/>
        </w:rPr>
        <w:t>E. 5.2</w:t>
      </w:r>
    </w:p>
    <w:p>
      <w:r>
        <w:t>Le recourant est d'avis qu'il n'existait aucune confusion possible, dès lors que le contrat de travail le liait à la société anonyme et à nulle autre entité; il en veut pour preuve le fait que son salaire était payé par la société anonyme - ce que la cour cantonale n'a pas établi et que le Tribunal fédéral ne saurait donc tenir pour constant - et le fait qu'il a contesté son licenciement auprès de la société anonyme à laquelle il avait "adressé (ses) prétentions avant l'ouverture d'une procédure judiciaire qu'il lui avait même annoncée par écrit".</w:t>
      </w:r>
    </w:p>
    <w:p>
      <w:r>
        <w:rPr>
          <w:b/>
        </w:rPr>
        <w:t>E. 5.3</w:t>
      </w:r>
    </w:p>
    <w:p>
      <w:r>
        <w:t>Le recourant ne peut être suivi lorsqu'il affirme qu'il ne subsistait aucun doute quant à la personne qu'il entendait réellement attraire en justice. Le contrat de travail sur lequel il fonde ses prétentions est établi à l'en-tête de la société anonyme et de l'association, ce qui ne permet pas de discerner aisément quel (s) étai (en) t le ou les cocontractant (s). Le recourant s'est d'ailleurs lui-même adressé à l'association pour contester l'avertissement qui lui avait été communiqué le 15 février 2016. Il est dès lors mal pris d'affirmer qu'il n'existait "aucune confusion possible". Certes, c'est vers la société anonyme qu'il s'est tourné les 23 mars et 11 avril 2016, en relation avec les difficultés et les dysfonctionnements qu'il rencontrait dans l'exercice de son travail. Cela étant, c'est sur papier à en-tête de "B1.________, Ressources humaines" qu'il lui a été répondu le 21 avril 2016, sans que l'employé ne thématise ce changement d'interlocuteur dans sa correspondance ultérieure. Au surplus, la résiliation du contrat de travail, rédigée sur papier à en-tête de "B.________ SA, Human Ressources", comporte à la fois le nom de la société anonyme et celui de l'association avant l'espace dévolu aux signatures. Il n'apparaît ainsi pas arbitraire de retenir que, dans l'esprit du demandeur, c'était l'association qui avait la légitimation passive et que la société anonyme n'avait pas nécessairement à discerner que c'était elle qui était visée dans la procédure initiée par le demandeur. Quant au juge, il pouvait lui aussi concevoir des doutes à ce sujet, sur le vu des éléments du dossier. Lorsqu'il évoque le fait que les deux entités étaient parfaitement informées de l'affaire et qu'elles ne pouvaient ignorer que seule la société anonyme avait la qualité de défenderesse, le recourant se base sur des suppositions qui ne trouvent pas d'ancrage suffisant dans les faits établis.</w:t>
      </w:r>
    </w:p>
    <w:p>
      <w:r>
        <w:t>Quant aux faits que le recourant voudrait voir complétés, respectivement corrigés dès lors qu'ils seraient arbitraires, ils ne sont pas de nature à dicter une autre conclusion, de sorte que le grief tiré d'une violation de l' art. 97 al. 1 LTF peut être qu'écarté (cf. consid. 2.2 supra). Ceci englobe le fait que E.________ serait non seulement sous-directeur de l'association, mais également directeur de la société anonyme, que les deux avocats consultés par chacune des entités travailleraient dans la même étude, que l'employé aurait fait valoir des prétentions découlant du droit du travail à l'encontre de la société anonyme dans son courrier du 15 juillet 2016, qu'il aurait annoncé à la société anonyme l'ouverture prochaine d'une procédure judiciaire dans son courrier du 22 décembre 2016 et que la renonciation à la prescription de la société anonyme mentionnerait expressément qu'elle ne vaudrait pas s'agissant du délai de péremption de l' art. 336b al. 2 CO , lequel serait échu.</w:t>
      </w:r>
    </w:p>
    <w:p>
      <w:r>
        <w:t>Sur le vu de ce qui précède, les conditions d'une rectification de la désignation de la partie défenderesse n'étaient pas remplies. Partant, il n'est nul besoin d'examiner la question de savoir si B.________ SA a ou non eu connaissance de la requête en conciliation. La cour cantonale n'a pas violé le droit fédéral en confirmant l'irrecevabilité de la demande, faute pour le recourant d'avoir préalablement obtenu l'autorisation de procéder à l'encontre de la société anonyme.</w:t>
      </w:r>
    </w:p>
    <w:p>
      <w:r>
        <w:rPr>
          <w:b/>
        </w:rPr>
        <w:t>E. 6</w:t>
      </w:r>
    </w:p>
    <w:p>
      <w:r>
        <w:t>Il s'ensuit que le recours doit être rejeté, aux frais de son auteur ( art. 66 al. 1 LTF ). Aucune indemnité de dépens ne sera octroyée à l'intimée, laquelle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