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4A_653/2025 vom 29. Dezember 2025</w:t>
      </w:r>
    </w:p>
    <w:p>
      <w:r>
        <w:t>Bundesgericht, 2025-12-29, DE</w:t>
      </w:r>
    </w:p>
    <w:p>
      <w:r>
        <w:rPr>
          <w:b/>
        </w:rPr>
        <w:t xml:space="preserve">Quelle: </w:t>
      </w:r>
      <w:r>
        <w:t>https://mcp.opencaselaw.ch/entscheid/bger_4A_653_2025</w:t>
      </w:r>
    </w:p>
    <w:p>
      <w:r>
        <w:t>FR: TF 4A_653/2025 du 29 décembre 2025</w:t>
      </w:r>
    </w:p>
    <w:p>
      <w:r>
        <w:t>IT: TF 4A_653/2025 del 29 dicembre 2025</w:t>
      </w:r>
    </w:p>
    <w:p>
      <w:pPr>
        <w:pStyle w:val="Heading2"/>
      </w:pPr>
      <w:r>
        <w:t>Erwägungen</w:t>
      </w:r>
    </w:p>
    <w:p>
      <w:r>
        <w:rPr>
          <w:b/>
        </w:rPr>
        <w:t>E. 1</w:t>
      </w:r>
    </w:p>
    <w:p>
      <w:r>
        <w:t>Mit Verfügung vom 13. November 2025 erstreckte das Bezirksgericht Bülach der Beschwerdegegnerin 2 auf begründetes Gesuch hin die Frist für die Einreichung einer schriftlichen Klageantwort letztmals bis zum 12. Dezember 2025. Mit Urteil vom 12. Dezember 2025 wies das Obergericht des Kantons Zürich eine von der Beschwerdeführerin gegen diese Verfügung eingereichte Beschwerde ab, soweit es darauf eintrat. Dagegen erhob die Beschwerdeführerin mit Eingabe vom 18. Dezember 2025 Rechtsverzögerungsbeschwerde an das Bundesgericht. Gleichzeitig ersucht sie um Gewährung der unentgeltlichen Rechtspflege für das bundesgerichtliche Verfahren. Auf das Einholen von Vernehmlassungen zur Beschwerde wurde verzichtet.</w:t>
      </w:r>
    </w:p>
    <w:p>
      <w:r>
        <w:rPr>
          <w:b/>
        </w:rPr>
        <w:t>E. 2</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der Beschwerdeführerin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