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4A_653/2015 vom 11. Juli 2016</w:t>
      </w:r>
    </w:p>
    <w:p>
      <w:r>
        <w:t>Bundesgericht, 2016-07-11, FR</w:t>
      </w:r>
    </w:p>
    <w:p>
      <w:r>
        <w:rPr>
          <w:b/>
        </w:rPr>
        <w:t xml:space="preserve">Quelle: </w:t>
      </w:r>
      <w:r>
        <w:t>https://mcp.opencaselaw.ch/entscheid/bger_4A_653_2015</w:t>
      </w:r>
    </w:p>
    <w:p>
      <w:r>
        <w:t>FR: TF 4A_653/2015 du 11 juillet 2016</w:t>
      </w:r>
    </w:p>
    <w:p>
      <w:r>
        <w:t>IT: TF 4A_653/2015 del 11 luglio 2016</w:t>
      </w:r>
    </w:p>
    <w:p>
      <w:pPr>
        <w:pStyle w:val="Heading2"/>
      </w:pPr>
      <w:r>
        <w:t>Erwägungen</w:t>
      </w:r>
    </w:p>
    <w:p>
      <w:r>
        <w:rPr>
          <w:b/>
        </w:rPr>
        <w:t>E. 1.1</w:t>
      </w:r>
    </w:p>
    <w:p>
      <w:r>
        <w:t>Interjeté en temps utile ( art. 100 al. 1 LTF ) par la demanderesse, qui a entièrement succombé sur ses conclusions en paiement et qui a ainsi la qualité pour recourir ( art. 76 al. 1 LTF ), dirigé contre un arrêt final ( art. 90 LTF ) rendu en matière civile ( art. 72 al. 1 LTF ) par un tribunal supérieur statuant sur recours ( art. 75 LTF ) dans une affaire pécuniaire dont la valeur litigieuse dépasse la somme de 30'000 fr. ( art. 74 al. 1 let. b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264 consid. 2.3 p. 266; 137 I 58 consid. 4.1.2) - ou en violation du droit au sens de l' art. 95 LTF ( art. 105 al. 2 LTF ), et si la correction du vice est susceptible d'influer sur le sort de la cause ( art. 97 al. 1 LTF ).</w:t>
      </w:r>
    </w:p>
    <w:p>
      <w:r>
        <w:t>Saisi d'un recours en matière civile, le Tribunal fédéral applique d'office le droit ( art. 106 al. 1 LTF ) à l'état de fait constaté dans l'arrêt cantonal ( art. 105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Il s'en tient cependant aux questions juridiques que la partie recourante soulève dans la motivation du recours et ne traite donc pas celles qui ne sont plus discutées par les parties ( art. 42 al. 2 LTF ; ATF 137 III 580 consid. 1.3 p. 584).</w:t>
      </w:r>
    </w:p>
    <w:p>
      <w:r>
        <w:rPr>
          <w:b/>
        </w:rPr>
        <w:t>E. 2</w:t>
      </w:r>
    </w:p>
    <w:p>
      <w:r>
        <w:t>La cour cantonale a jugé, au considérant 3.2.1 in initio de l'arrêt critiqué, que le " contrat de construction " conclu le 20 mars 2006 par les parties doit être qualifié de contrat d'entreprise totale. A juste titre.</w:t>
      </w:r>
    </w:p>
    <w:p>
      <w:r>
        <w:t>La notion juridique d'entrepreneur total a sa source dans celle d'entrepreneur général. Ce dernier s'engage à l'égard du maître à réaliser la totalité d'un ouvrage ou d'une partie d'ouvrage en prenant la place des différents entrepreneurs partiels qui sont chargés de prestations spécifiques. L'entrepreneur total se charge, en plus des tâches de l'entrepreneur général, de l'établissement des études de projets et des plans ( ATF 114 II 53 consid. 2a et les références; arrêt 4A_99/2015 du 21 juillet 2015 consid. 4.1, in Plaidoyer 2015/5 p. 54).</w:t>
      </w:r>
    </w:p>
    <w:p>
      <w:r>
        <w:t>In casu, la recourante a confié à l'intimée l'étude, puis la réalisation d'une villa, conformément aux plans et au descriptif réalisés par celle-ci, sur la part de copropriété par étages dont elle était propriétaire. L'établissement des projets et plans, qui s'ajoute aux tâches spécifiques d'entrepreneur général, caractérise, comme on l'a vu, l'activité de l'entrepreneur total.</w:t>
      </w:r>
    </w:p>
    <w:p>
      <w:r>
        <w:t>Selon la jurisprudence, le contrat passé entre l'entrepreneur total et le maître de l'ouvrage se qualifie comme un contrat d'entreprise au sens de l' art. 363 CO ( ATF 117 II 273 consid. 3a; arrêt 4A_99/2015 du 21 juillet 2015 précité, ibidem).</w:t>
      </w:r>
    </w:p>
    <w:p>
      <w:r>
        <w:rPr>
          <w:b/>
        </w:rPr>
        <w:t>E. 3.1</w:t>
      </w:r>
    </w:p>
    <w:p>
      <w:r>
        <w:t>La recourante, qui cite l' art. 97 al. 1 CO , reproche à la cour cantonale d'avoir jugé qu'elle n'a pas subi de dommage, qui consisterait à avoir payé le prix total de l'ouvrage sans qu'il ait été achevé. Elle fait valoir que la cour cantonale a omis de prendre en compte le montant de 39'000 fr. qu'elle s'est engagée à verser aux acquéreurs de sa villa pour l'achèvement des travaux d'aménagements extérieurs, non exécutés par l'intimée en violation du contrat de construction du 20 mars 2006. Elle se réfère aux deux devis adressés par l'intimée aux acquéreurs de sa villa le 12 février 2008, qui représentaient le coût des travaux manquants. Elle en déduit qu'elle a établi de manière certaine le dommage entraîné par la violation contractuelle imputable à l'entreprise, sans qu'il soit utile de faire application de l' art. 42 CO . Par le même mécanisme, elle prétend avoir prouvé les frais d'avocat encourus avant procès, dont elle requiert le remboursement à l'intimée.</w:t>
      </w:r>
    </w:p>
    <w:p>
      <w:r>
        <w:rPr>
          <w:b/>
        </w:rPr>
        <w:t>E. 3.2</w:t>
      </w:r>
    </w:p>
    <w:p>
      <w:r>
        <w:t>Il convient de vérifier si l'intimée, comme le soutient la recourante, a engagé sa responsabilité contractuelle (cf. art. 97 al. 1 CO susmentionné) pour n'avoir pas achevé l'ouvrage que cette dernière lui a commandé.</w:t>
      </w:r>
    </w:p>
    <w:p>
      <w:r>
        <w:rPr>
          <w:b/>
        </w:rPr>
        <w:t>E. 3.2.1</w:t>
      </w:r>
    </w:p>
    <w:p>
      <w:r>
        <w:t>Dans le contrat d'entreprise, le devoir de vérification et d'avis du maître de l'ouvrage ne prend naissance qu'à la livraison de l'ouvrage ( art. 367 al. 1 CO ; ATF 117 II 264 consid. 2a), qui suppose l'achèvement des travaux ( ATF 118 II 142 consid. 4 in fine). Du point de vue de l'entrepreneur, la réception correspond à la livraison ( ATF 129 III 738 consid. 7.2 p. 748).</w:t>
      </w:r>
    </w:p>
    <w:p>
      <w:r>
        <w:t>La livraison (réception) est un concept juridique, qui repose sur des éléments de fait précis, de sorte que le Tribunal fédéral peut contrôler si la cour cantonale a fait une application juridique correcte de cette notion (arrêt 4A_252/2010 du 25 novembre 2010 consid. 5.4.).</w:t>
      </w:r>
    </w:p>
    <w:p>
      <w:r>
        <w:t>La livraison consiste dans la remise par l'entrepreneur au maître de l'ouvrage achevé et réalisé conformément au contrat; peu importe que l'ouvrage soit ou non entaché de défauts. La livraison par l'entrepreneur se fait par tradition ou par un avis, exprès ou tacite, de celui-ci au maître ( ATF 129 III 738 ibidem; 115 II 456 consid. 4 p. 458/459). Si un avis d'achèvement des travaux est signifié, la livraison résulte de la seule réception de cet avis par le maître, sans qu'il faille encore que ce dernier ait la volonté de recevoir l'ouvrage (PETER GAUCH, Der Werkvertrag, 5e éd. 2011, n. 98 p. 36 à 37).</w:t>
      </w:r>
    </w:p>
    <w:p>
      <w:r>
        <w:rPr>
          <w:b/>
        </w:rPr>
        <w:t>E. 3.2.2</w:t>
      </w:r>
    </w:p>
    <w:p>
      <w:r>
        <w:t>Il a été retenu en fait ( art. 105 al. 1 LTF ) que la recourante a signé le 15 décembre 2006 un document portant le titre souligné " Réception de l'ouvrage ", écrit en majuscules et en gras, qui fait référence aux art. 157 ss de la norme SIA 118 se rapportant à cette même notion.</w:t>
      </w:r>
    </w:p>
    <w:p>
      <w:r>
        <w:t>La recourante a mis une première croix dans la case " L'ouvrage est considéré comme reçu (art. 159 et 160) " et une seconde croix dans la case " Aucune réserve n'est formulée par le maître de l'ouvrage ".</w:t>
      </w:r>
    </w:p>
    <w:p>
      <w:r>
        <w:t>Certes des travaux restants étaient énumérés dans ce document. Mais il s'agissait de travaux secondaires par rapport à l'ensemble de l'ouvrage, qui constituaient des finitions à accomplir ne permettant pas au maître de refuser l'ouvrage (TERCIER/FAVRE, Les contrats spéciaux, 4e éd. 2009, ch. 4412 p. 665). S'il en allait autrement, on ne saisit pas pourquoi le maître a déclaré n'avoir aucune réserve à formuler.</w:t>
      </w:r>
    </w:p>
    <w:p>
      <w:r>
        <w:t>En apposant sa signature sur ce document, qui vaut communication de l'achèvement des travaux, la recourante a reçu indubitablement avis de la livraison de l'ouvrage achevé.</w:t>
      </w:r>
    </w:p>
    <w:p>
      <w:r>
        <w:t>On doit dès lors admettre que l'ouvrage a été livré à la recourante le 15 décembre 2006.</w:t>
      </w:r>
    </w:p>
    <w:p>
      <w:r>
        <w:t>La livraison correspond à l'exécution de l'obligation principale de l'entrepreneur, qui est éteinte sous réserve des droits à la garantie (TERCIER/FAVRE, op. cit., ch. 4419 p. 666).</w:t>
      </w:r>
    </w:p>
    <w:p>
      <w:r>
        <w:rPr>
          <w:b/>
        </w:rPr>
        <w:t>E. 3.2.3</w:t>
      </w:r>
    </w:p>
    <w:p>
      <w:r>
        <w:t>Selon le décompte final du 8 décembre 2006 (antérieur d'une semaine à la communication de l'achèvement de l'ouvrage), le solde restant dû par la recourante à l'intimée se montait à 60'326 fr.10.</w:t>
      </w:r>
    </w:p>
    <w:p>
      <w:r>
        <w:t>En janvier 2007, la recourante n'a payé à son adverse partie que le montant de 45'000 fr. Le 5 février 2007, l'entreprise lui a alors envoyé un rappel pour le règlement du solde, qui ascendait à 15'326 fr.10.</w:t>
      </w:r>
    </w:p>
    <w:p>
      <w:r>
        <w:t>Par courrier du 9 février 2007, le maître a fait notamment savoir à l'entreprise qu'elle réglerait le reliquat réclamé lorsque toutes les imperfections mentionnées dans une liste annexée auront été éliminées, un délai à fin mars 2007 étant fixé à cette dernière pour y procéder. S'agissant des aménagements extérieurs, la recourante a mentionné la pose d'un manchon de fermeture sur la balustrade de la terrasse, l'ajustement d'une barre horizontale de la balustrade et la finition des travaux du jardin. Interrogée en première instance, elle a confirmé qu'il s'agissait là des seuls travaux d'aménagements extérieurs qui restaient à effectuer.</w:t>
      </w:r>
    </w:p>
    <w:p>
      <w:r>
        <w:t>L'intimée ayant requis une garantie de paiement avant d'éliminer les imperfections résultant de la liste de la recourante, celle-ci a constitué en faveur de l'entreprise une cédule hypothécaire nominative dont le montant couvrait entièrement le solde resté impayé selon le rappel du 5 février 2007.</w:t>
      </w:r>
    </w:p>
    <w:p>
      <w:r>
        <w:t>Entendu en première instance, l'associé gérant de l'intimée a déclaré qu'à réception de la cédule hypothécaire, cette dernière a terminé en particulier les travaux d'aménagements extérieurs.</w:t>
      </w:r>
    </w:p>
    <w:p>
      <w:r>
        <w:t>La recourante se réfère en vain aux deux devis que l'intimée a envoyés aux acheteurs de l'immeuble le 12 février 2008. Ces devis se rapportent en effet à des travaux qui n'ont rien à voir avec ceux que la recourante a mentionnés dans sa liste d'imperfections du 9 février 2007. Si ces derniers concernaient exclusivement les balustrades de la terrasse et des travaux de jardin, ceux des devis avaient trait à des installations de chantier, à des ouvrages reposant sur le sol (dallages), à l'installation de barrières incluant la pose de treillis vert, à des aménagements du sol (terrassement) et à des canalisations.</w:t>
      </w:r>
    </w:p>
    <w:p>
      <w:r>
        <w:t>Les travaux devisés le 12 février 2008 ne sauraient donc avoir eu pour objet la réparation d'imperfections affectant les aménagements extérieurs de la villa.</w:t>
      </w:r>
    </w:p>
    <w:p>
      <w:r>
        <w:t>Il ne ressort pas de cette analyse que l'intimée doive répondre envers la recourante d'une mauvaise exécution de ses obligations contractuelles. L'action de cette dernière doit être rejetée par substitution de motifs.</w:t>
      </w:r>
    </w:p>
    <w:p>
      <w:r>
        <w:rPr>
          <w:b/>
        </w:rPr>
        <w:t>E. 4</w:t>
      </w:r>
    </w:p>
    <w:p>
      <w:r>
        <w:t>Au vu de ce résultat, il n'y a pas lieu d'examiner les griefs de la recourante qui reposent sur la constatation arbitraire des éléments de son prétendu dommage ainsi que sur la violation de l' art. 42 al. 2 CO .</w:t>
      </w:r>
    </w:p>
    <w:p>
      <w:r>
        <w:rPr>
          <w:b/>
        </w:rPr>
        <w:t>E. 5</w:t>
      </w:r>
    </w:p>
    <w:p>
      <w:r>
        <w:t>En définitive, le recours doit être rejeté.</w:t>
      </w:r>
    </w:p>
    <w:p>
      <w:r>
        <w:t>La recourante, qui succombe entièrement, versera l'émolument de justice ( art. 66 al. 1 LTF ) et payera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