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4A_653/2012 vom 10. Januar 2013</w:t>
      </w:r>
    </w:p>
    <w:p>
      <w:r>
        <w:t>Bundesgericht, 2013-01-10, DE</w:t>
      </w:r>
    </w:p>
    <w:p>
      <w:r>
        <w:rPr>
          <w:b/>
        </w:rPr>
        <w:t xml:space="preserve">Quelle: </w:t>
      </w:r>
      <w:r>
        <w:t>https://mcp.opencaselaw.ch/entscheid/bger_4A_653_2012</w:t>
      </w:r>
    </w:p>
    <w:p>
      <w:r>
        <w:t>FR: TF 4A_653/2012 du 10 janvier 2013</w:t>
      </w:r>
    </w:p>
    <w:p>
      <w:r>
        <w:t>IT: TF 4A_653/2012 del 10 gennaio 2013</w:t>
      </w:r>
    </w:p>
    <w:p>
      <w:pPr>
        <w:pStyle w:val="Heading2"/>
      </w:pPr>
      <w:r>
        <w:t>Erwägungen</w:t>
      </w:r>
    </w:p>
    <w:p>
      <w:r>
        <w:rPr>
          <w:b/>
        </w:rPr>
        <w:t>E. 1</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133 III 489 E. 3.1 mit Hinweisen). Ob diese Voraussetzung gegeben ist, scheint fraglich, zumal der Beschwerde nicht zu entnehmen ist, welche Sachverhaltsergänzungen die Vorinstanz vorzunehmen hätte. Die Beschwerdeführerin behauptet vielmehr, aus den Akten ergebe sich, dass ein Aufwand von Fr. 59'394.90 ausgewiesen sei, weshalb an sich eine Ergänzung des Sachverhalts durch das Bundesgericht denkbar wäre ( Art. 105 Abs. 2 BGG ). Ob die Anträge genügen, kann indessen offenbleiben, da auf die Beschwerde ohnehin nicht einzutreten ist.</w:t>
      </w:r>
    </w:p>
    <w:p>
      <w:r>
        <w:rPr>
          <w:b/>
        </w:rPr>
        <w:t>E. 1.1</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135 III 334 E. 2 und 2.1 S. 335 mit Hinweisen).</w:t>
      </w:r>
    </w:p>
    <w:p>
      <w:r>
        <w:rPr>
          <w:b/>
        </w:rPr>
        <w:t>E. 1.2</w:t>
      </w:r>
    </w:p>
    <w:p>
      <w:r>
        <w:t>Nach Art. 42 Abs. 2 BGG ist in der Begründung der Anträge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134 II 244 E. 2.1 S. 246; 134 V 53 E. 3.3 S. 60). Soweit eine Verletzung von Grundrechten und kantonalem oder interkantonalem Recht geltend gemacht wird, gilt das Rügeprinzip ( Art. 106 Abs. 2 BGG ). Es ist im Einzelnen darzulegen, inwiefern verfassungsmässige Rechte missachtet wurden oder der Entscheid offensichtlich unhaltbar ist: das Gericht untersucht den angefochtenen Entscheid nicht von sich aus umfassend auf seine Verfassungsmässigkeit, sondern beschränkt sich auf die Prüfung der in der Beschwerde rechtsgenüglich vorgebrachten Rügen ( Art. 106 Abs. 2 BGG ; BGE 133 III 393 E. 6 S. 397 mit Hinweis). Soweit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 BGE 133 IV 119 E. 6.3 S. 120 f.; vgl. auch BGE 132 III 555 E. 3.2 S. 560; je mit Hinweisen).</w:t>
      </w:r>
    </w:p>
    <w:p>
      <w:r>
        <w:rPr>
          <w:b/>
        </w:rPr>
        <w:t>E. 1.3</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prozesskonform eingebracht hat (Urteile des Bundesgerichts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 S. 254 f.). Neue Tatsachen und Beweismittel dürfen nur soweit vorgebracht werden, als der Entscheid der Vorinstanz dazu Anlass gibt ( Art. 99 Abs. 1 BGG ; BGE 136 III 123 E. 4.4.3 S. 129 mit Hinweisen), was in der Beschwerde ebenfalls näher darzulegen ist ( BGE 133 III 393 E. 3 S. 395).</w:t>
      </w:r>
    </w:p>
    <w:p>
      <w:r>
        <w:rPr>
          <w:b/>
        </w:rPr>
        <w:t>E. 1.4</w:t>
      </w:r>
    </w:p>
    <w:p>
      <w:r>
        <w:t>Die Vorinstanz hat ihr Urteil auf zwei selbständige Begründungen abgestützt. Sie erkannte einerseits, die Beschwerdeführerin habe den geltend gemachten Aufwand trotz Bestreitung der Gegenpartei nicht prozesskonform substanziiert, und erachtete andererseits die Reduktion des Lohnes, selbst wenn der Aufwand nachgewiesen wäre, mit Blick auf die von der Beschwerdeführerin zu verantwortende zu tiefe Kostenschätzung für gerechtfertigt. Die Beschwerdeführerin ficht beide Begründungen an.</w:t>
      </w:r>
    </w:p>
    <w:p>
      <w:r>
        <w:rPr>
          <w:b/>
        </w:rPr>
        <w:t>E. 1.4.1</w:t>
      </w:r>
    </w:p>
    <w:p>
      <w:r>
        <w:t>Die Beschwerdeführerin behauptet, sie habe dem Gericht die von der kantonalen Dienststelle korrigierte Rechnung für Regiearbeiten sowie die der Rechnung zugrunde liegenden Regierapporte eingereicht. Diese seien vom Gerichtsexperten überprüft und für in Ordnung befunden worden. Der Oberexperte gehe von totalen Nettoregiearbeitskosten von Fr. 59'394.90 aus. Die Beschwerdeführerin habe immer behauptet, einen grossen Mehraufwand beim Einspracheverfahren gehabt zu haben. Mit der Argumentation der Vorinstanz, angesichts der Bestreitung der Gegenpartei genügten die korrigierte Rechnung und die Einreichung der Regierapporte mit Blick auf das kantonale Prozessrecht nicht zur prozesskonformen Substanziierung des Aufwands, setzt sich die Beschwerdeführerin nicht auseinander. Sie zeigt auch nicht mit Aktenhinweisen auf, wo sie im kantonalen Verfahren den entstandenen Aufwand prozesskonform hinreichend substanziiert behauptet hätte. Insoweit ist die Beschwerde nicht hinreichend begründet.</w:t>
      </w:r>
    </w:p>
    <w:p>
      <w:r>
        <w:rPr>
          <w:b/>
        </w:rPr>
        <w:t>E. 1.4.2</w:t>
      </w:r>
    </w:p>
    <w:p>
      <w:r>
        <w:t>Bezüglich der zweiten Argumentationslinie der Vorinstanz macht die Beschwerdeführerin geltend, es sei offensichtlich falsch, wenn die Vorinstanz von Durchschnittswerten von Fr. 290.-- respektive Fr. 407.-- pro Einspracheverfahren ausgehe, da erwiesenermassen zur Behandlung der Einsprachen ein Aufwand von Fr. 59'374.90 erforderlich gewesen sei. Sie verkennt, dass sich die beanstandeten Durchschnittswerte nicht auf den tatsächlichen Aufwand beziehen, den die Vorinstanz in dieser Begründung als nachgewiesen unterstellt, sondern auf Durchschnittswerte, die sich unter Berücksichtigung der zu tiefen Kostenschätzung der Beschwerdeführerin ergeben würden. Auch auf diese Ausführungen geht die Beschwerdeführerin nicht ein. Damit genügt die Beschwerde auch insoweit den Begründungsanforderungen nicht ( Art. 42 Abs. 2 BGG ).</w:t>
      </w:r>
    </w:p>
    <w:p>
      <w:r>
        <w:rPr>
          <w:b/>
        </w:rPr>
        <w:t>E. 2</w:t>
      </w:r>
    </w:p>
    <w:p>
      <w:r>
        <w:t>Mangels hinreichender Begründung ist auf die Beschwerde nicht einzutreten. Dem Ausgang des Verfahrens entsprechend wird die Beschwerdeführerin kostenpflichtig. Da keine Vernehmlassung eingeholt wurde,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