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650/2016 vom 3. Mai 2017</w:t>
      </w:r>
    </w:p>
    <w:p>
      <w:r>
        <w:t>Bundesgericht, 2017-05-03, FR</w:t>
      </w:r>
    </w:p>
    <w:p>
      <w:r>
        <w:rPr>
          <w:b/>
        </w:rPr>
        <w:t xml:space="preserve">Quelle: </w:t>
      </w:r>
      <w:r>
        <w:t>https://mcp.opencaselaw.ch/entscheid/bger_4A_650_2016</w:t>
      </w:r>
    </w:p>
    <w:p>
      <w:r>
        <w:t>FR: TF 4A 650/2016 du 3 mai 2017</w:t>
      </w:r>
    </w:p>
    <w:p>
      <w:r>
        <w:t>IT: TF 4A 650/2016 del 3 maggio 2017</w:t>
      </w:r>
    </w:p>
    <w:p>
      <w:pPr>
        <w:pStyle w:val="Heading2"/>
      </w:pPr>
      <w:r>
        <w:t>Regeste</w:t>
      </w:r>
    </w:p>
    <w:p>
      <w:r>
        <w:t>contrat d'entreprise; défauts de l'ouvrage | Droit des contrats</w:t>
      </w:r>
    </w:p>
    <w:p>
      <w:pPr>
        <w:pStyle w:val="Heading2"/>
      </w:pPr>
      <w:r>
        <w:t>Erwägungen</w:t>
      </w:r>
    </w:p>
    <w:p>
      <w:r>
        <w:rPr>
          <w:b/>
        </w:rPr>
        <w:t>E. 1.1</w:t>
      </w:r>
    </w:p>
    <w:p>
      <w:r>
        <w:t>La voie du recours en matière civile requiert une valeur litigieuse minimale de 30'000 fr. qui n'est pas atteinte en l'occurrence ( art. 74 al. 1 let. b LTF en lien avec les art. 51 al. 1 let. a et art. 53 LTF ). Le recourant l'admet lui-même. Il plaide cependant que l'exigence de la valeur litigieuse ne s'applique pas dans la mesure où le litige soulève deux questions juridiques de principe ( art. 74 al. 2 let. a LTF ).</w:t>
      </w:r>
    </w:p>
    <w:p>
      <w:r>
        <w:rPr>
          <w:b/>
        </w:rPr>
        <w:t>E. 1.2.1</w:t>
      </w:r>
    </w:p>
    <w:p>
      <w:r>
        <w:t>Selon la jurisprudence, la problématique juridique à résoudre est une question de principe lorsqu'elle donne lieu à une incertitude caractérisée qui appelle de manière pressante un éclaircissement de la part du Tribunal fédéral, en tant qu'autorité judiciaire suprême chargée de dégager une interprétation uniforme du droit fédéral. Lorsque le point soulevé ne concerne que l'application de principes jurisprudentiels à un cas particulier, il ne peut être qualifié de question juridique de principe. Le recourant doit démontrer l'existence d'une question de principe, sauf si elle paraît évidente ( ATF 141 II 113 consid. 1.4.1 et les arrêts cités). La jurisprudence n'admet que de façon restrictive la réalisation d'une telle condition, qui permet de déroger à l'exigence de la valeur litigieuse ( ATF 138 I 143 consid. 1.1.2 p. 147).</w:t>
      </w:r>
    </w:p>
    <w:p>
      <w:r>
        <w:rPr>
          <w:b/>
        </w:rPr>
        <w:t>E. 1.2.2</w:t>
      </w:r>
    </w:p>
    <w:p>
      <w:r>
        <w:t>Du point de vue du recourant, le Tribunal fédéral devrait en premier lieu préciser si le maître, après avoir exercé son droit formateur à la réfection de l'ouvrage, peut revenir sur sa décision et opter pour la résolution du contrat d'entreprise. L'arrêt attaqué répond par l'affirmative à cette question en citant un arrêt de la cour de céans (arrêt 4C.106/2005 du 7 octobre 2005 consid. 3.2 in DC 2006 63; cf. au surplus consid. 4.2 infra ). A juste titre, le recourant ne se risque pas à prétendre que cette jurisprudence devrait être réexaminée en raison de critiques doctrinales ou d'une application non uniforme (cf. ATF 139 II 340 consid. 4 p. 343; 135 III 1 consid. 1.3 p. 4). Il ne s'agit à l'évidence pas d'une question de principe.</w:t>
      </w:r>
    </w:p>
    <w:p>
      <w:r>
        <w:rPr>
          <w:b/>
        </w:rPr>
        <w:t>E. 1.2.3</w:t>
      </w:r>
    </w:p>
    <w:p>
      <w:r>
        <w:t>En second lieu, l'autorité de céans devrait déterminer si, dans le cadre d'une interprétation fondée sur le principe de la confiance, le juge est habilité à prendre en compte exclusivement les déclarations d'une partie, sans procéder au préalable à l'interprétation littérale du contrat. L'argument confine à la témérité. La jurisprudence a posé de longue date les principes gouvernant l'interprétation objective des manifestations de volonté, notamment quant à la place de l'interprétation littérale des déclarations de volonté (cf. par exemple ATF 135 III 295 consid. 5.2 p. 302; 133 III 61 consid. 2.2.1; au surplus consid. 3.2 infra ).</w:t>
      </w:r>
    </w:p>
    <w:p>
      <w:r>
        <w:rPr>
          <w:b/>
        </w:rPr>
        <w:t>E. 1.3</w:t>
      </w:r>
    </w:p>
    <w:p>
      <w:r>
        <w:t>L'exception de l' art. 74 al. 2 let. a LTF n'étant clairement pas réalisée, il s'ensuit que le recours en matière civile est irrecevable. Subsiste la voie du recours constitutionnel subsidiaire ( art. 113 LTF ).</w:t>
      </w:r>
    </w:p>
    <w:p>
      <w:r>
        <w:rPr>
          <w:b/>
        </w:rPr>
        <w:t>E. 2.1</w:t>
      </w:r>
    </w:p>
    <w:p>
      <w:r>
        <w:t>Comme son nom l'indique, le recours constitutionnel subsidiaire peut être formé pour violation des droits constitutionnels uniquement ( art. 116 LTF ). Pour ce grief prévaut une exigence de motivation accrue: le justiciable doit exposer quel droit ou principe constitutionnel a été violé et expliquer de manière claire et circonstanciée, si possible documentée, en quoi consiste la violation du droit invoqué ( art. 106 al. 2 LTF , par renvoi de l' art. 117 LTF ; ATF 140 III 571 consid. 1.5; 134 II 244 consid. 2.2). Le Tribunal fédéral statue sur la base des faits établis par l'autorité précédente. Il peut rectifier ou compléter les constatations de celle-ci si les faits ont été établis en violation de droits constitutionnels ( art. 118 LTF ). La partie qui entend attaquer les faits constatés par l'autorité précédente doit expliquer clairement et de manière circonstanciée en quoi ces conditions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w:t>
      </w:r>
    </w:p>
    <w:p>
      <w:r>
        <w:rPr>
          <w:b/>
        </w:rPr>
        <w:t>E. 2.2</w:t>
      </w:r>
    </w:p>
    <w:p>
      <w:r>
        <w:t>Une décision est arbitraire au sens de l' art. 9 Cst.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censurée, encore faut-il qu'elle s'avère arbitraire, non seulement dans ses motifs, mais aussi dans son résultat ( ATF 141 I 49 consid. 3.4).</w:t>
      </w:r>
    </w:p>
    <w:p>
      <w:r>
        <w:rPr>
          <w:b/>
        </w:rPr>
        <w:t>E. 3.1</w:t>
      </w:r>
    </w:p>
    <w:p>
      <w:r>
        <w:t>L'autorité précédente a retenu que le caractère modulable et mobile des divers éléments composant le meuble objet du contrat d'entreprise était une qualité convenue, essentielle pour les maîtres d'ouvrage. Elle est arrivée à cette conclusion en procédant à une interprétation objective des manifestations de volonté.</w:t>
      </w:r>
    </w:p>
    <w:p>
      <w:r>
        <w:rPr>
          <w:b/>
        </w:rPr>
        <w:t>E. 3.2</w:t>
      </w:r>
    </w:p>
    <w:p>
      <w:r>
        <w:t>Lorsque la volonté réelle des parties ne peut être établie, le juge doit interpréter les déclarations et comportements selon le principe de la confiance, en recherchant comment ces manifestations de volonté pouvaient être comprises de bonne foi en fonction de l'ensemble des circonstances ( ATF 135 III 410 consid. 3.2 p. 413). S'agissant de déclarations, l'interprétation purement littérale est prohibée ( art. 18 al. 1 CO ), même si elle constitue un point de départ. En effet, le sens d'un texte peut paraître limpide à première vue, mais il peut résulter d'autres conditions du contrat, du but poursuivi par les parties ou d'autres circonstances que le texte ne restitue pas exactement le sens de l'accord conclu. Il n'y a cependant pas lieu de s'écarter du sens littéral du texte adopté par les intéressés lorsqu'il n'y a aucune raison sérieuse de penser qu'il ne correspond pas à leur volonté ( ATF 142 III 671 consid. 3.3; 136 III 186 consid. 3.2.1 p. 188).</w:t>
      </w:r>
    </w:p>
    <w:p>
      <w:r>
        <w:rPr>
          <w:b/>
        </w:rPr>
        <w:t>E. 3.3</w:t>
      </w:r>
    </w:p>
    <w:p>
      <w:r>
        <w:t>L'entrepreneur dénonce une application arbitraire de l' art. 18 CO . Il reproche aux juges genevois d'avoir dégagé la volonté hypothétique des parties sur la base des seules déclarations des maîtres, sans procéder à une interprétation littérale du contrat comprenant un devis et des croquis. Or, ces documents ne mentionnaient pas que les éléments du meuble devaient être modulables. Le devis précisait tout au plus que deux bibliothèques étaient amovibles, ce qui ressortait aussi des croquis par l'utilisation de pointillés.</w:t>
      </w:r>
    </w:p>
    <w:p>
      <w:r>
        <w:rPr>
          <w:b/>
        </w:rPr>
        <w:t>E. 3.4</w:t>
      </w:r>
    </w:p>
    <w:p>
      <w:r>
        <w:t>L'autorité précédente a fait l'analyse suivante: «Il ressort des déclarations des intimés [i.e les maîtres] qu'ils ont expressément indiqué que le meuble devait être modulable. L'appelant [i.e l'entrepreneur], pour qui le terme 'modularité' n'évoque rien, a compris que les différents éléments du meuble devaient pouvoir être déplacés aisément dans le cadre d'un déménagement et n'a pas saisi qu'il devait en réalité s'agir de cubes empilables, les intimés voulant se réserver la possibilité, le cas échénant [recte: échéant], de déplacer le meuble et de le recomposer d'une manière différente. Il est par ailleurs admis que les intimés ont présenté à l'appelant un meuble xxx modulable comme exemple de l'ouvrage souhaité, l'appelant ayant toutefois déclaré ne pas avoir compris pourquoi ce meuble lui avait été montré. Dans la mesure où la modularité constituait l'unique point commun entre les deux meubles, la teinte, les dimensions et les particularités de chaque élément étant en effet très différentes, l'appelant aurait dû comprendre que l'ouvrage souhaité par les intimés devait être composés [recte: composé] d'éléments indépendants les uns des autres, pouvant être composés entre eux de différentes manières. En cas de doute, il lui appartenait de poser des questions aux maîtres de l'ouvrage, conformément à son devoir de diligence. Contrairement à ce que soutient l'appelant, le fait que les croquis et le devis ne mentionnent pas expressément les termes 'mobilité' et 'modularité' n'implique pas que ces qualités n'étaient pas requises. En effet, tant le devis que les croquis font état de meubles distincts composant la bibliothèque. Il n'était ainsi pas nécessaire de préciser que chacun de ces éléments devait être mobile et modulable, dans la mesure où ces caractéristiques découlent de la nature même d'éléments distincts. Au vu de ce qui précède, l'appelant aurait dû comprendre des indications données par les intimés que l'ouvrage souhaité par ceux-ci devait être modulable, de sorte que la modularité constituait une qualité convenue par les parties et essentielle pour les intimés.»</w:t>
      </w:r>
    </w:p>
    <w:p>
      <w:r>
        <w:rPr>
          <w:b/>
        </w:rPr>
        <w:t>E. 3.5</w:t>
      </w:r>
    </w:p>
    <w:p>
      <w:r>
        <w:t>Ce raisonnement est exempt d'arbitraire. Le recourant développe une argumentation largement basée sur un état de fait qui s'écarte de celui retenu dans l'arrêt attaqué. Il fait notamment valoir que les maîtres auraient transformé leur meuble xxx modulable en meuble fixe, grâce à un système de «solidarisation par des vis parker»; ou encore, qu'ils auraient modifié ultérieurement les croquis pour les besoins de la cause. Or, à défaut de grief dûment circonstancié dénonçant un arbitraire dans l'établissement des faits (consid. 2.1 supra ), la cour de céans est liée par l'arrêt attaqué, un simple renvoi à des pièces du dossier étant inopérant. L'interprétation objective fondée sur les faits retenus par les juges genevois, notamment sur le contenu du devis tel que décrit dans l'arrêt attaqué, n'a rien d'insoutenable. Le seul fait que le devis contresigné ne mentionne pas le caractère amovible des éléments composant le meuble, si ce n'est pour deux bibliothèques dans la partie médiane du meuble, ne suffit pas à rendre arbitraire la conclusion quant à la qualité convenue, au regard notamment de la présentation d'un meuble composé d'éléments amovibles, qui devait illustrer le souhait des maîtres.</w:t>
      </w:r>
    </w:p>
    <w:p>
      <w:r>
        <w:rPr>
          <w:b/>
        </w:rPr>
        <w:t>E. 4.1</w:t>
      </w:r>
    </w:p>
    <w:p>
      <w:r>
        <w:t>L'entrepreneur se plaint aussi d'une application arbitraire de l' art. 368 CO . De son point de vue, les maîtres ne pouvaient pas revenir sur leur choix et résoudre le contrat tant qu'ils ne lui avaient pas laissé la possibilité de réparer l'ouvrage à ses frais.</w:t>
      </w:r>
    </w:p>
    <w:p>
      <w:r>
        <w:rPr>
          <w:b/>
        </w:rPr>
        <w:t>E. 4.2</w:t>
      </w:r>
    </w:p>
    <w:p>
      <w:r>
        <w:t>En cas d'exécution défectueuse de l'ouvrage, l' art. 368 CO offre au maître trois possibilités: la résolution du contrat (al. 1), la réfection de l'ouvrage ou la réduction du prix (al. 2). Le maître est en principe lié par le choix qu'il opère: il exerce un droit formateur normalement irrévocable. Toutefois, les autres droits à la garantie peuvent renaître dans certaines situations, en particulier si l'entrepreneur est en demeure de réparer l'ouvrage, si la réfection est impossible ou si l'entrepreneur livre un ouvrage qui reste défectueux malgré la réfection accomplie (arrêt 4A_643/2014 du 25 novembre 2015 consid. 4.2, in Praxis 2016 819; arrêt précité 4C.106/2005 consid. 3.2; cf. aussi ATF 109 II 40 consid. 6a et les références citées).</w:t>
      </w:r>
    </w:p>
    <w:p>
      <w:r>
        <w:rPr>
          <w:b/>
        </w:rPr>
        <w:t>E. 4.3</w:t>
      </w:r>
    </w:p>
    <w:p>
      <w:r>
        <w:t>Les juges genevois ont constaté que les maîtres avaient tout d'abord opté pour la réfection de l'ouvrage, les parties ayant ainsi décidé de se laisser un temps de réflexion afin de trouver des solutions aux défauts. L'entrepreneur avait proposé des solutions, dont aucune - à l'exception de la découpe des plinthes - ne permettait d'éliminer les défauts de l'ouvrage. En particulier, les problèmes de modularité et de dimensions demeuraient entiers. L'entrepreneur avait lui-même admis que comme professionnel de la branche, il ne voyait pas d'autres solutions que celles proposées. Les juges en ont conclu que dans ce contexte, les autres droits découlant de la garantie des défauts étaient à nouveau disponibles.</w:t>
      </w:r>
    </w:p>
    <w:p>
      <w:r>
        <w:rPr>
          <w:b/>
        </w:rPr>
        <w:t>E. 4.4</w:t>
      </w:r>
    </w:p>
    <w:p>
      <w:r>
        <w:t>L'analyse de la Cour de justice est clairement exempte d'arbitraire. Le recourant ne conteste pas que l'élimination des défauts était impossible, ce qui n'était évidemment pas nécessaire de vérifier en pratique. Toute discussion est ainsi close.</w:t>
      </w:r>
    </w:p>
    <w:p>
      <w:r>
        <w:rPr>
          <w:b/>
        </w:rPr>
        <w:t>E. 5</w:t>
      </w:r>
    </w:p>
    <w:p>
      <w:r>
        <w:t>Le recourant ne formule pas d'autre grief contre l'arrêt attaqué, ce qui dispense la cour de céans d'en rediscuter les autres aspects (cf. art. 42 al. 2 LTF en lien avec l' art. 108 al. 1 let. b LTF ; ATF 140 III 115 consid. 2).</w:t>
      </w:r>
    </w:p>
    <w:p>
      <w:r>
        <w:rPr>
          <w:b/>
        </w:rPr>
        <w:t>E. 6</w:t>
      </w:r>
    </w:p>
    <w:p>
      <w:r>
        <w:t>En définitive, le recours en matière civile est irrecevable, tandis que le recours constitutionnel subsidiaire doit être rejeté. En conséquence, le recourant supportera les frais de la présente procédure et versera une indemnité de dépens aux intimés, créanciers solidaires ( art. 66 al. 1 LTF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