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64/2023 vom 28. Februar 2023</w:t>
      </w:r>
    </w:p>
    <w:p>
      <w:r>
        <w:t>Bundesgericht, 2023-02-28, DE</w:t>
      </w:r>
    </w:p>
    <w:p>
      <w:r>
        <w:rPr>
          <w:b/>
        </w:rPr>
        <w:t xml:space="preserve">Quelle: </w:t>
      </w:r>
      <w:r>
        <w:t>https://mcp.opencaselaw.ch/entscheid/bger_4A_64_2023</w:t>
      </w:r>
    </w:p>
    <w:p>
      <w:r>
        <w:t>FR: TF 4A 64/2023 du 28 février 2023</w:t>
      </w:r>
    </w:p>
    <w:p>
      <w:r>
        <w:t>IT: TF 4A 64/2023 del 28 febbraio 2023</w:t>
      </w:r>
    </w:p>
    <w:p>
      <w:pPr>
        <w:pStyle w:val="Heading2"/>
      </w:pPr>
      <w:r>
        <w:t>Regeste</w:t>
      </w:r>
    </w:p>
    <w:p>
      <w:r>
        <w:t>Fusionsgesetz, Kostenvorschuss, | Gesellschaftsrecht</w:t>
      </w:r>
    </w:p>
    <w:p>
      <w:pPr>
        <w:pStyle w:val="Heading2"/>
      </w:pPr>
      <w:r>
        <w:t>Erwägungen</w:t>
      </w:r>
    </w:p>
    <w:p>
      <w:r>
        <w:rPr>
          <w:b/>
        </w:rPr>
        <w:t>E. 1</w:t>
      </w:r>
    </w:p>
    <w:p>
      <w:r>
        <w:t>Am 21. August 2018 reichte der Beschwerdeführer beim Bezirksgericht Brig, Östlich-Raron und Goms Klage gegen die Beschwerdegegnerin ein. Mit Verfügung vom 10. Juni 2022 stellte das Bezirksgericht fest, dass beim Beschwerdeführer besondere Umstände im Sinne von Art. 105 Abs. 3 des Bundesgesetzes vom 3. Oktober 2003 über Fusion, Spaltung, Umwandlung und Vermögensübertragung (Fusionsgesetz, FusG; SR 221.301) vorliegen und verpflichtete ihn zur Leistung eines Kostenvorschusses von Fr. 76'500.--. Mit Entscheid vom 21. Dezember 2022 hiess das Kantonsgericht Wallis eine vom Beschwerdeführer gegen die bezirksgerichtliche Verfügung vom 10. Juni 2022 erhobene Beschwerde im Eventualbegehren gut, es hob die angefochtene Verfügung auf und legte den zu leistenden Kostenvorschusses auf Fr. 6'000.-- fest. Mit Eingabe vom 1. Februar 2022 erklärte der Beschwerdeführer dem Bundesgericht, den Entscheid des Kantonsgerichts Wallis vom 21. Dezember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Beim angefochtenen Entscheid der Vorinstanz handelt es sich um einen selbstständig eröffneten Zwischenentscheid, der weder die Zuständigkeit noch den Ausstand betrifft und gegen den die Beschwerde nach Art. 93 Abs. 1 lit. a BGG nur zulässig ist, wenn der Entscheid einen nicht wieder gutzumachenden Nachteil bewirken kann ( BGE 142 III 798 E. 2.1 f. mit Hinweisen; die Ausnahme von Art. 93 Abs. 1 lit. b BGG fällt ausser Betracht). Es obliegt der beschwerdeführenden Partei darzutun, dass die Voraussetzungen für eine ausnahmsweise Anfechtbarkeit eines Zwischenentscheids erfüllt sind, soweit deren Vorliegen nicht offensichtlich in die Augen springt ( BGE 142 III 798 E. 2.2 mit zahlreichen Hinweisen). Ficht sie - wie vorliegend -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 und insbesondere E. 2.3.4).</w:t>
      </w:r>
    </w:p>
    <w:p>
      <w:r>
        <w:rPr>
          <w:b/>
        </w:rPr>
        <w:t>E. 2.2</w:t>
      </w:r>
    </w:p>
    <w:p>
      <w:r>
        <w:t>Der Beschwerdeführer bringt nichts Derartiges vor. Die Beschwerde ist somit offensichtlich unzulässig und es ist darauf im vereinfachten Verfahren gemäss Art. 108 Abs. 1 lit. a BGG nicht einzutreten.</w:t>
      </w:r>
    </w:p>
    <w:p>
      <w:r>
        <w:rPr>
          <w:b/>
        </w:rPr>
        <w:t>E. 3</w:t>
      </w:r>
    </w:p>
    <w:p>
      <w:r>
        <w:t>Der Beschwerdeführer wird bei diesem Verfahrensausgang kostenpflichtig ( Art. 66 Abs. 1 BGG . Der Beschwerdegegnerin steht keine Parteientschädigungen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