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64/2011 vom 1. September 2011</w:t>
      </w:r>
    </w:p>
    <w:p>
      <w:r>
        <w:t>Bundesgericht, 2011-09-01, DE</w:t>
      </w:r>
    </w:p>
    <w:p>
      <w:r>
        <w:rPr>
          <w:b/>
        </w:rPr>
        <w:t xml:space="preserve">Quelle: </w:t>
      </w:r>
      <w:r>
        <w:t>https://mcp.opencaselaw.ch/entscheid/bger_4A_64_2011</w:t>
      </w:r>
    </w:p>
    <w:p>
      <w:r>
        <w:t>FR: TF 4A 64/2011 du 1 septembre 2011</w:t>
      </w:r>
    </w:p>
    <w:p>
      <w:r>
        <w:t>IT: TF 4A 64/2011 del 1 settembre 2011</w:t>
      </w:r>
    </w:p>
    <w:p>
      <w:pPr>
        <w:pStyle w:val="Heading2"/>
      </w:pPr>
      <w:r>
        <w:t>Regeste</w:t>
      </w:r>
    </w:p>
    <w:p>
      <w:r>
        <w:t>Patentstreitigkeit | Immaterialgüter-, Wettbewerbs- und Kartellrecht</w:t>
      </w:r>
    </w:p>
    <w:p>
      <w:pPr>
        <w:pStyle w:val="Heading2"/>
      </w:pPr>
      <w:r>
        <w:t>Erwägungen</w:t>
      </w:r>
    </w:p>
    <w:p>
      <w:r>
        <w:rPr>
          <w:b/>
        </w:rPr>
        <w:t>E. 1</w:t>
      </w:r>
    </w:p>
    <w:p>
      <w:r>
        <w:t>Die Beschwerden richten sich gegen eine Verfügung und einen Beschluss im gleichen Verfahren, betreffen identische Parteien und werfen zum Teil dieselben Rechtsfragen auf. Unter diesen Umständen rechtfertigt es sich, die beiden Beschwerdeverfahren (d.h. 4A_64/2011 und 4A_210/2011) zu vereinigen und in einem einzigen Urteil zu erledigen ( Art. 71 BGG i.V.m. Art. 24 BZP analog).</w:t>
      </w:r>
    </w:p>
    <w:p>
      <w:r>
        <w:rPr>
          <w:b/>
        </w:rPr>
        <w:t>E. 2.1</w:t>
      </w:r>
    </w:p>
    <w:p>
      <w:r>
        <w:t>Das Bundesgericht prüft seine Zuständigkeit und die Eintretensvoraussetzungen von Amtes wegen und mit freier Kognition ( Art. 29 Abs. 1 BGG ; BGE 135 III 1 E. 1.1 S. 3 mit Hinweisen).</w:t>
      </w:r>
    </w:p>
    <w:p>
      <w:r>
        <w:rPr>
          <w:b/>
        </w:rPr>
        <w:t>E. 2.2</w:t>
      </w:r>
    </w:p>
    <w:p>
      <w:r>
        <w:t>Die von der Beschwerdeführerin angefochtene Verfügung des Kantonsgerichts vom 23. Dezember 2010 schliesst das Klageverfahren nicht ab und ist daher als Zwischenentscheid zu qualifizieren. Der auf Nichteintreten lautende Beschluss des Obergerichts vom 24. Februar 2011 bildet als Rechtsmittelentscheid über diesen Zwischenentscheid seinerseits wiederum einen Zwischenentscheid (Urteil 4A_542/2009 vom 27. April 2010 E. 3 mit Hinweisen).</w:t>
      </w:r>
    </w:p>
    <w:p>
      <w:r>
        <w:rPr>
          <w:b/>
        </w:rPr>
        <w:t>E. 2.3</w:t>
      </w:r>
    </w:p>
    <w:p>
      <w:r>
        <w:t>Die angefochtenen Zwischenentscheide behandeln weder die Zuständigkeit noch ein Ausstandsbegehren gemäss Art. 92 BGG .</w:t>
      </w:r>
    </w:p>
    <w:p>
      <w:r>
        <w:rPr>
          <w:b/>
        </w:rPr>
        <w:t>E. 2.4</w:t>
      </w:r>
    </w:p>
    <w:p>
      <w:r>
        <w:t>Die Beschwerdeführerin macht jedoch in der Beschwerde II. geltend, sie habe erst mit dem Nichteintretensentscheid erfahren, dass beim Beschluss des Obergerichts Zug vom 24. Februar 2011 Oberrichter A.________ mitgewirkt habe. Dieser habe während fünf Jahren als Präsident des Kantonsgerichts Zug das erstinstanzliche Gerichtsverfahren geleitet und hätte daher gemäss § 41 Abs. 1 Ziff. 5 GOG/ZG in Ausstand treten müssen. Zwar habe er die Eingangsanzeige vom 12. Januar 2011 unterzeichnet. Daraus habe sie in Anbetracht von § 41 GOG/ZG jedoch noch nicht schliessen müssen, er werde bei der Entscheidfindung mitwirken. Die Beschwerdeführerin sei daher berechtigt, auf dem Rechtsmittelweg gegen ihn einen Ausstandsgrund geltend zu machen und diesen gemäss Art. 99 BGG durch neue Tatsachen nachzuweisen.</w:t>
      </w:r>
    </w:p>
    <w:p>
      <w:r>
        <w:rPr>
          <w:b/>
        </w:rPr>
        <w:t>E. 2.5</w:t>
      </w:r>
    </w:p>
    <w:p>
      <w:r>
        <w:t>Ob die nachträgliche Anrufung eines Ausstandsgrundes im vorliegenden Beschwerdeverfahren zulässig ist, kann offen bleiben, weil der Anspruch ohnehin verwirkt ist. Die Beschwerdeführerin hat nämlich nach eigenen Angaben erkannt, dass Oberrichter A.________ die Eingangsanzeige vom 12. Januar 2011 bezüglich der beim Obergericht eingereichten Beschwerde unterzeichnete. Da er damit als Oberrichter bezüglich der Beschwerde eine Amtshandlung vornahm, war für die Beschwerdeführerin ersichtlich, dass er am Verfahren beteiligt war. Sie musste daher damit rechen, dass er sich weiterhin mit der Beschwerde befassen und als mitwirkender Richter darüber entscheiden werde. Unter diesen Umständen hätte die Beschwerdeführerin, unverzüglich nach Erhalt der Eingangsanzeige gegen Oberrichter A.________ ein Ablehnungsbegehren stellen müssen, wenn sie ihn aufgrund seiner ihr bekannten vormaligen Tätigkeit als erstinstanzlicher Instruktionsrichter hätte ablehnen wollen. Indem sie dies unterliess und bis zum Beschluss des Obergerichts vom 24. Februar 2011 zuwartete, hat sie ihren Anspruch auf Anrufung des geltend gemachten Ablehnungsgrunds verwirkt ( BGE 134 I 20 E. 4.3.1; 132 II 485 E. 4.3; vgl. auch 4A_118/2010 vom 19. April 2010 E. 3.4).</w:t>
      </w:r>
    </w:p>
    <w:p>
      <w:r>
        <w:rPr>
          <w:b/>
        </w:rPr>
        <w:t>E. 3.1</w:t>
      </w:r>
    </w:p>
    <w:p>
      <w:r>
        <w:t>Im Übrigen sind die angefochtenen Zwischenentscheide - abgesehen vom hier nicht gegebenen Ausnahmefall gemäss Art. 93 Abs. 1 lit. b BGG - nur direkt vor Bundesgericht anfechtbar, wenn sie einen nicht wieder gutzumachenden Nachteil im Sinne von Art. 93 Abs. 1 lit. a BGG bewirken können. Ein solcher Nachteil muss nach der bundesgerichtlichen Rechtsprechung rechtlicher Natur sein, was voraussetzt, dass er durch einen späteren günstigen Entscheid nicht oder nicht mehr vollständig behoben werden kann. Rein tatsächliche Nachteile, etwa die Verlängerung oder Verteuerung des Verfahrens, fallen demgegenüber nicht in Betracht ( BGE 136 IV 92 E. 4 S. 95; 134 III 188 E. 2.1 und 2.2; 133 III 629 E. 2.3.1, je mit Hinweisen). Gemäss der Rechtsprechung kann die Verpflichtung, der Gegenpartei Dokumente offenzulegen, welche Geschäftsgeheimnisse enthalten, einen nicht wieder gutzumachenden Nachteil bewirken (vgl. BGE 129 II 183 E. 3.2.2 S. 187 f.).</w:t>
      </w:r>
    </w:p>
    <w:p>
      <w:r>
        <w:rPr>
          <w:b/>
        </w:rPr>
        <w:t>E. 3.2</w:t>
      </w:r>
    </w:p>
    <w:p>
      <w:r>
        <w:t>Die Beschwerdeführerin macht geltend, ein nicht wieder gutzumachender Nachteil würde ihr entstehen, weil die angefochtene Verfügung sie unter Strafandrohung zur Edition von Unterlagen verpflichte, welche möglicherweise das Geschäftsgeheimnis der Beschwerdeführerin (und/oder Dritter) verletze, weshalb Dritte - insbesondere die Gegenpartei - von geheimen Tatsachen Kenntnis bekämen. Eine Verletzung des Geschäftsgeheimnisses sei irreversibel und stelle daher einen nicht wieder gutzumachenden Nachteil dar.</w:t>
      </w:r>
    </w:p>
    <w:p>
      <w:r>
        <w:rPr>
          <w:b/>
        </w:rPr>
        <w:t>E. 3.3</w:t>
      </w:r>
    </w:p>
    <w:p>
      <w:r>
        <w:t>Die Beschwerdeführerin lässt ausser Acht, dass die Verfügung des Kantonsgerichts vom 23. Dezember 2010 eine Editionspflicht an das Kantonsgericht und nicht an die Gegenpartei vorsieht. Zudem kann die Beschwerdeführerin, sofern sie schützenswerte Geheimhaltungsinteressen genügend substanziiert aufzeigt (vgl. BGE 134 III 255 E. 2.5), gemäss Art. 68 Abs. 2 des Patentgesetzes (PatG, SR 232.14) verlangen, dass Beweismittel, durch welche Geschäftsgeheimnisse offenbart werden können, der Gegenpartei nur insoweit zugänglich gemacht werden, als dies mit der Wahrung des Geheimnisses vereinbar ist. Die beschränkte Zugänglichmachung kann dadurch ermöglicht werden, dass ein Gutachter oder Fachrichter die geheimen Beweismittel prüft, in seinem Bericht an das Gericht und alle Parteien jedoch nur die Informationen festhält, die für den Prozess benötigt werden (vgl. PETER HEINRICH, Kommentar zu PatG/EPÜ, 2. Aufl. 2010, N. 6 zu Art. 68 PatG ; FRITZ BLUMER, Patentverletzungsprozess, in: Schweizerisches und europäisches Patentrecht, 2002, S. 859 f. Rz. 17.201). Demnach trifft es nicht zu, dass die angefochtene Verfügung des Kantonsgerichts vom 23. Dezember 2010 die Beschwerdeführerin dazu verpflichtet, gegenüber der Beschwerdegegnerin oder Dritten schützenswerte Geschäftsgeheimnisse zu offenbaren, weshalb ein nicht wieder gutzumachender Nachteil zu verneinen ist. Auf die Beschwerden ist daher nicht einzutreten.</w:t>
      </w:r>
    </w:p>
    <w:p>
      <w:r>
        <w:rPr>
          <w:b/>
        </w:rPr>
        <w:t>E. 4</w:t>
      </w:r>
    </w:p>
    <w:p>
      <w:r>
        <w:t>Bei diesem Ausgang des bundesgerichtlichen Verfahrens sind die Gerichtskosten für beide Beschwerden der Beschwerdeführerin aufzuerlegen ( Art. 66 Abs. 1 BGG ). Diese hat zudem der Beschwerdegegnerin für die Vernehmlassung im Verfahren 4A_64/2011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