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4A_649/2024 vom 28. Januar 2025</w:t>
      </w:r>
    </w:p>
    <w:p>
      <w:r>
        <w:t>Bundesgericht, 2025-01-28, DE</w:t>
      </w:r>
    </w:p>
    <w:p>
      <w:r>
        <w:rPr>
          <w:b/>
        </w:rPr>
        <w:t xml:space="preserve">Quelle: </w:t>
      </w:r>
      <w:r>
        <w:t>https://mcp.opencaselaw.ch/entscheid/bger_4A_649_2024</w:t>
      </w:r>
    </w:p>
    <w:p>
      <w:r>
        <w:t>FR: TF 4A_649/2024 du 28 janvier 2025</w:t>
      </w:r>
    </w:p>
    <w:p>
      <w:r>
        <w:t>IT: TF 4A_649/2024 del 28 gennaio 2025</w:t>
      </w:r>
    </w:p>
    <w:p>
      <w:pPr>
        <w:pStyle w:val="Heading2"/>
      </w:pPr>
      <w:r>
        <w:t>Erwägungen</w:t>
      </w:r>
    </w:p>
    <w:p>
      <w:r>
        <w:rPr>
          <w:b/>
        </w:rPr>
        <w:t>E. 1</w:t>
      </w:r>
    </w:p>
    <w:p>
      <w:r>
        <w:t>Der Präsident des Bezirksgerichts Zurzach erteilte mit Entscheid vom 16. September 2024 den Beschwerdegegnern in der Betreibung Nr. xxx des Regionalen Betreibungsamtes X.________ für den Betrag von Fr. 315'284.10, für Fr. 210'666.80, für die Betreibungskosten von Fr. 517.20 sowie für den Kostenersatz in der Höhe von Fr. 2'000.-- definitive Rechtsöffnung. Dagegen erhob der Beschwerdeführer Beschwerde an das Obergericht des Kantons Aargau. Das Obergericht trat mit Entscheid vom 7. November 2024 auf die Beschwerde nicht ein. Gegen diesen Entscheid erhebt der Beschwerdeführer mit Eingabe vom 6. Dezember 2024 Beschwerde an das Bundesgericht. Auf das Einholen von Vernehmlassungen der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Rechte die Vorinstanz mit ihrem Entscheid inwiefern verletzt haben soll. Auf die Beschwerde ist somit mangels hinreichender Begründung nicht einzutreten ( Art. 108 Abs. 1 lit. b BGG ).</w:t>
      </w:r>
    </w:p>
    <w:p>
      <w:r>
        <w:rPr>
          <w:b/>
        </w:rPr>
        <w:t>E. 4</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