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4A_647/2024 vom 5. September 2025</w:t>
      </w:r>
    </w:p>
    <w:p>
      <w:r>
        <w:t>Bundesgericht, 2025-09-05, DE</w:t>
      </w:r>
    </w:p>
    <w:p>
      <w:r>
        <w:rPr>
          <w:b/>
        </w:rPr>
        <w:t xml:space="preserve">Quelle: </w:t>
      </w:r>
      <w:r>
        <w:t>https://mcp.opencaselaw.ch/entscheid/bger_4A_647_2024</w:t>
      </w:r>
    </w:p>
    <w:p>
      <w:r>
        <w:t>FR: TF 4A_647/2024 du 5 septembre 2025</w:t>
      </w:r>
    </w:p>
    <w:p>
      <w:r>
        <w:t>IT: TF 4A_647/2024 del 5 settembre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Gemäss Art. 257 Abs. 1 ZPO gewährt das Gericht Rechtsschutz im summarischen Verfahren, wenn der Sachverhalt unbestritten oder sofort beweisbar ist (lit. a) und die Rechtslage klar ist (lit. b).</w:t>
      </w:r>
    </w:p>
    <w:p>
      <w:r>
        <w:rPr>
          <w:b/>
        </w:rPr>
        <w:t>E. 4.1</w:t>
      </w:r>
    </w:p>
    <w:p>
      <w:r>
        <w:t>Ein Sachverhalt ist dann sofort beweisbar im Sinne von Art. 257 Abs. 1 lit. a ZPO ,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4.2</w:t>
      </w:r>
    </w:p>
    <w:p>
      <w:r>
        <w:t>Die Rechtslage ist klar im Sinne von Art. 257 Abs. 1 lit. b ZPO , wenn sich die Rechtsfolge bei der Anwendung des Gesetzes unter Berücksichtigung der Lehre und Rechtsprechung ohne Weiteres ergibt und damit die Rechtsanwendung zu einem eindeutigen Ergebnis führt ( BGE 141 III 23 E. 3.2; 138 III 123 E. 2.1.2).</w:t>
      </w:r>
    </w:p>
    <w:p>
      <w:r>
        <w:t>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4A_480/2023 vom 6. Dezember 2023 E. 3.2.2; 4A_12/2023 vom 31. März 2023 E. 3.2; je mit Hinweisen).</w:t>
      </w:r>
    </w:p>
    <w:p>
      <w:r>
        <w:rPr>
          <w:b/>
        </w:rPr>
        <w:t>E. 5</w:t>
      </w:r>
    </w:p>
    <w:p>
      <w:r>
        <w:t>Die Beschwerdeführerin rügt, die Vorinstanz habe mit der Erstinstanz ein Rechtsschutzinteresse der Beschwerdegegner zu Unrecht bejaht und damit Art. 59 Abs. 2 lit. a ZPO verletzt. Die Zusprechung von Grundeigentum "Zug um Zug gegen Bezahlung des restlichen Kaufpreises" sei für die Beschwerdegegner ein rechtlicher Non-Valeur. Was diese bezweckten, nämlich dass ihnen das Grundeigentum an den streitgegenständlichen Grundstücken zugesprochen werde, hätten sie nicht beantragt. Sie hätten bloss die Zusprechung der Grundstücke Zug um Zug gegen Bezahlung des Restkaufpreises verlangt. Zudem habe die Vorinstanz mit der Bestätigung des erstinstanzlichen Gestaltungsurteils "Zug um Zug" Art. 87 ZPO verletzt.</w:t>
      </w:r>
    </w:p>
    <w:p>
      <w:r>
        <w:rPr>
          <w:b/>
        </w:rPr>
        <w:t>E. 5.1</w:t>
      </w:r>
    </w:p>
    <w:p>
      <w:r>
        <w:t>Die Vorinstanz erwog, die Erstinstanz sei auf das Gesuch der Beschwerdegegner eingetreten, womit sie die Prozessvoraussetzungen (implizit) bejaht habe. Es bestehe kein Anlass davon abzuweichen. Die Beschwerdeführerin mache insbesondere nicht geltend, das Rechtsschutzinteresse der Beschwerdegegner sei nachträglich weggefallen. Auch die von ihr zitierten Bundesgerichtsentscheide seien nicht einschlägig. Dort sei bei einer Stufenklage ein Rechtsschutzinteresse verneint worden, da der Hilfsantrag auf Auskunft bzw. Rechnungslegung akzessorisch der Bezifferung des Hauptantrags auf Zahlung einer Geldsumme gedient habe und sich der Betrag des Hauptantrags im Laufe des Verfahrens habe beziffern lassen (mit Verweis auf die Urteile 4A_393/2021 vom 4. März 2022 E. 5 und 4A_498/2008 vom 5. November 2009 E. 2.2.2). Zudem gingen die Ausführungen der Beschwerdeführerin zum Ziel des Gesuchs der Beschwerdegegner an der Sache vorbei. Deren Ziel sei es, Zug um Zug gegen Bezahlung des restlichen Kaufpreises das Eigentum an den von ihnen mit Kaufvertrag vom 2. März 2022 erworbenen Grundstücken übertragen zu erhalten. Was daran unter dem Gesichtspunkt des Rechtsschutzinteresses nicht zulässig sein solle, sei nicht ersichtlich.</w:t>
      </w:r>
    </w:p>
    <w:p>
      <w:r>
        <w:rPr>
          <w:b/>
        </w:rPr>
        <w:t>E. 5.2</w:t>
      </w:r>
    </w:p>
    <w:p>
      <w:r>
        <w:t>Was die Beschwerdeführerin dagegen einwendet, vermag nicht zu überzeugen. Sie stellt sich im bundesgerichtlichen Verfahren weiterhin auf den Standpunkt, es fehle den Beschwerdegegnern an einem Rechtsschutzinteresse. Dabei übergeht sie, dass die Eigentumsübertragung der streitgegenständlichen Grundstücke unbestrittenermassen noch nicht erfolgt ist. Aus diesem Grund bezwecken die Beschwerdegegner mit dem von ihnen eingereichten Gesuch die Eigentumsübertragung der streitgegenständlichen Grundstücke gemäss Art. 665 Abs. 1 ZGB . Die Beschwerdeführerin tut nicht dar, weshalb es sich beim Gesuch der Beschwerdegegner um einen rechtlichen "Non-Valeur" handeln sollte. Mit der Anweisung an das zuständige Grundbuchamt kann das Eigentum an den streitgegenständlichen Grundstücken durch die Beschwerdegegner ohne Zutun der Beschwerdeführerin erworben werden. Nicht ersichtlich ist, was die Beschwerdeführerin für sich ableiten will, wenn sie geltend macht, das subjektive Interesse der Beschwerdegegner könne nicht weitergehen, als was sie selbst als ihr Interesse deklarierten. Ebenso wenig legt die Beschwerdeführerin dar, weshalb am Gesuch der Beschwerdegegner kein objektives Interesse bestehen soll. Denn die Beschwerdeführerin hat sich bis anhin geweigert, den Beschwerdegegnern das Eigentum an den streitgegenständlichen Grundstücken zu übertragen. Unbehelflich ist auch ihr Einwand, dass die Rechtslage erst dann gestaltet werde, "wenn die Parteien ihre jeweiligen Züge" machten. Ohnehin tut die Beschwerdeführerin nicht dar, dass die Beschwerdegegner ihren Zug (Bezahlung des restlichen Kaufpreises) nicht ausführen würden.</w:t>
      </w:r>
    </w:p>
    <w:p>
      <w:r>
        <w:t>Zusammenfassend vermag die Beschwerdeführerin nicht darzutun, dass es den Beschwerdegegnern an einem Rechtsschutzinteresse hinsichtlich ihres Gesuchs mangelt oder dass es insofern an einer klaren Rechtslage fehlt. Damit kann die Frage offenbleiben, ob im Verfahren betreffend Rechtsschutz in klaren Fällen auch hinsichtlich der Prozessvoraussetzungen klares Recht (vgl. hiervor E. 4.2) vorliegen muss.</w:t>
      </w:r>
    </w:p>
    <w:p>
      <w:r>
        <w:rPr>
          <w:b/>
        </w:rPr>
        <w:t>E. 6</w:t>
      </w:r>
    </w:p>
    <w:p>
      <w:r>
        <w:t>Die Beschwerdeführerin macht eventualiter geltend, es könne offenbleiben, ob die von der Vorinstanz statuierte Pflicht zur Erwirkung der Pfandrechtsfreiheit der zu übertragenden Grundstücke überhaupt bestehe. Eine Pflicht, die zu übertragenden Grundstücke pfandrechtsfrei zu machen, werde jedenfalls erst dann fällig, wenn die Beschwerdegegner den restlichen Kaufpreis bezahlten. Die Vorinstanz habe die Fälligkeit der Forderung zur pfandrechtsfreien Übertragung der Grundstücke falsch beurteilt und damit Art. 75 OR verletzt.</w:t>
      </w:r>
    </w:p>
    <w:p>
      <w:r>
        <w:rPr>
          <w:b/>
        </w:rPr>
        <w:t>E. 6.1</w:t>
      </w:r>
    </w:p>
    <w:p>
      <w:r>
        <w:t>Die Vorinstanz erwog, der Beschwerdeführerin sei zwar zuzustimmen, dass im Kaufvertrag bei der Pflicht zur pfandrechtsfreien Übertragung der Grundstücke nicht explizit eine einzelne Vertragspartei als Pflichtige genannt werde. Eine explizite Nennung sei aber auch gar nicht erforderlich, weil nur die Pfandschuldnerin dieser Pflicht nachkommen könne. Pfandschuldnerin sei unbestritten die Beschwerdeführerin. Sie verkenne, dass die erforderliche Pfandentlassungsbewilligung gemäss Kaufvertrag bei der Eigentumsübertragung vorzuliegen habe. Da die Beschwerdegegner die Eigentumsübertragung eingefordert und die Erstinstanz diese auch zugesprochen habe, sei auch die Pflicht fällig, das Grundstück pfandrechtsfrei zu übertragen.</w:t>
      </w:r>
    </w:p>
    <w:p>
      <w:r>
        <w:rPr>
          <w:b/>
        </w:rPr>
        <w:t>E. 6.2</w:t>
      </w:r>
    </w:p>
    <w:p>
      <w:r>
        <w:t>Was die Beschwerdeführerin dagegen einwendet, vermag nicht zu überzeugen. Sie macht geltend, die vorinstanzliche Erwägung, dass die Erstinstanz die Eigentumsübertragung zugesprochen habe, sei nicht richtig. Vielmehr sei die Eigentumsübertragung Zug um Zug gegen Bezahlung des restlichen Kaufpreises zugesprochen worden. Sie legt aber nicht hinreichend dar, was sie vorliegend daraus für sich ableiten will. Gemäss Art. 82 OR muss, wer bei einem zweiseitigen Vertrag den anderen zur Erfüllung anhalten will, entweder bereits erfüllt haben oder die Erfüllung anbieten, es sei denn, dass er nach dem Inhalt oder der Natur des Vertrages erst später zu erfüllen hat (vgl. zum Ganzen: BGE 127 III 199 E. 3a). Die Beschwerdegegner haben die Eigentumsübertragung Zug um Zug gegen Bezahlung des restlichen Kaufpreises gefordert und von den kantonalen Instanzen zugesprochen erhalten. Es verletzt kein Bundesrecht, wenn die Vorinstanz daraus ableitet, damit sei auch die Pflicht der Beschwerdeführerin fällig geworden, die betreffenden Grundstücke pfandrechtsfrei zu übertragen. Eine Verletzung von Art. 75 OR ist nicht dargetan. Ebenso wenig trifft zu, dass die Vorinstanz diesbezüglich zu Unrecht von einer klaren Rechtslage (vgl. hiervor E. 4.2) ausgegangen wäre.</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