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4A_642/2024 vom 6. März 2025</w:t>
      </w:r>
    </w:p>
    <w:p>
      <w:r>
        <w:t>Bundesgericht, 2025-03-06, FR</w:t>
      </w:r>
    </w:p>
    <w:p>
      <w:r>
        <w:rPr>
          <w:b/>
        </w:rPr>
        <w:t xml:space="preserve">Quelle: </w:t>
      </w:r>
      <w:r>
        <w:t>https://mcp.opencaselaw.ch/entscheid/bger_4A_642_2024</w:t>
      </w:r>
    </w:p>
    <w:p>
      <w:r>
        <w:t>FR: TF 4A_642/2024 du 6 mars 2025</w:t>
      </w:r>
    </w:p>
    <w:p>
      <w:r>
        <w:t>IT: TF 4A_642/2024 del 6 marzo 2025</w:t>
      </w:r>
    </w:p>
    <w:p>
      <w:pPr>
        <w:pStyle w:val="Heading2"/>
      </w:pPr>
      <w:r>
        <w:t>Erwägungen</w:t>
      </w:r>
    </w:p>
    <w:p>
      <w:r>
        <w:rPr>
          <w:b/>
        </w:rPr>
        <w:t>E. 1</w:t>
      </w:r>
    </w:p>
    <w:p>
      <w:r>
        <w:t>En tant qu'il statue sur une demande de récusation de l'expert, l'arrêt attaqué, qui est une décision incidente, peut faire l'objet d'un recours immédiat au Tribunal fédéral ( art. 92 al. 1 LTF ; cf. ATF 138 V 271 consid. 2.2.1; arrêts 4A_578/2020 du 25 janvier 2021 consid. 2.3; 4A_352/2017 du 31 janvier 2018 consid. 1; 5A_819/2009 du 28 juillet 2010 consid. 1.3 en lien avec l'arrêt 5A_435/2010 du 28 juillet 2010 consid. 1.2). Le recours portant sur la personne de l'expert désigné est recevable indépendamment de l'exigence d'un préjudice irréparable, dès lors qu'il s'agit sur ce point d'un recours contre une décision incidente portant sur la récusation, au sens de l' art. 92 LTF (sur le principe selon lequel l' art. 92 LTF s'applique aussi à la décision portant sur la récusation d'un expert, cf. ATF 138 V 271 consid. 2.2.1; arrêts 4A_155/2021 du 30 septembre 2021 consid. 4.5; 5A_1019/2020 du 30 juin 2021 consid. 1.1).</w:t>
      </w:r>
    </w:p>
    <w:p>
      <w:r>
        <w:t>La voie de droit contre une décision incidente suit celle ouverte contre la décision sur le fond. En l'espèce, la décision à rendre au fond est susceptible de recours en matière civile ( art. 72 LTF ) et la valeur litigieuse est supérieure au seuil légal en cette matière ( art. 74 al. 1 let. b LTF ). La voie du recours en matière civile est donc également ouverte contre l'arrêt querellé.</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La partie qui entend attaquer les faits constatés par l'autorité précédente doit expliquer clairement et de manière circonstanciée en quoi ces conditions seraient réalisées ( ATF 140 III 16 consid. 1.3.1).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2.2</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d'ordinaire que les griefs invoqués, sauf en cas d'erreurs juridiques manifestes ( ATF 140 III 115 consid. 2).</w:t>
      </w:r>
    </w:p>
    <w:p>
      <w:r>
        <w:rPr>
          <w:b/>
        </w:rPr>
        <w:t>E. 3</w:t>
      </w:r>
    </w:p>
    <w:p>
      <w:r>
        <w:t>Selon l' art. 183 al. 2 CPC , les motifs de récusation des magistrats et des fonctionnaires judiciaires sont applicables aux experts désignés par le tribunal. Un expert est récusable dans les cas énoncés à l' art. 47 al. 1 CPC , auquel renvoie l' art. 183 al. 2 CPC (arrêts 5A_313/2022 du 15 août 2022 consid. 4.1; 4A_155/2021 précité consid. 5.2, non publié in ATF 147 III 582 ).</w:t>
      </w:r>
    </w:p>
    <w:p>
      <w:r>
        <w:t>Selon la jurisprudence, cette disposition-ci doit être appliquée dans le respect des principes de la garantie d'un tribunal indépendant et impartial instituée par les art. 6 par. 1 CEDH et 30 al. 1 Cst. ( ATF 140 III 221 consid. 4.2; 139 III 433 consid. 2.2), respectivement ici - s'agissant d'un expert judiciaire - l' art. 29 al. 1 Cst. (cf. ATF 125 II 541 consid. 4a; arrêt 4A_352/2017 précité consid. 4.1). L' art. 29 al. 1 Cst. prévoit que toute personne a droit, dans une procédure judiciaire ou administrative, à ce que sa cause soit traitée équitablement et jugée dans un délai raisonnable. S'agissant de l'impartialité et de l'indépendance requises d'un expert, cette disposition assure une protection équivalente à celle de l' art. 30 al. 1 Cst. , ( ATF 127 I 196 consid. 2b; arrêts 4A_352/2017 précité consid. 4.1; 5A_981/2015 du 12 avril 2016 consid. 3.2.1), qui en la matière a la même portée que l' art. 6 par. 1 CEDH ( ATF 129 V 196 consid. 4.1; 128 V 82 consid. 2a; 127 I 196 consid. 2b).</w:t>
      </w:r>
    </w:p>
    <w:p>
      <w:r>
        <w:t>Cette garantie permet au plaideur d'exiger la récusation d'un juge - respectivement d'un expert judiciaire -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est établie, car une disposition interne de sa part ne peut guère être prouvée; il suffit que les circonstances donnent l'apparence de la prévention et fassent redouter une activité partiale. Seules des circonstances constatées objectivement doivent être prises en considération; les impressions purement individuelles d'une des parties au procès ne sont pas décisives ( ATF 116 Ia 135 consid. 2; cf. ég. ATF 144 I 159 consid. 4.3; 142 III 732 consid. 4.2.2; 142 III 521 consid. 3.1.1; 140 III 221 consid. 4.1; 140 I 240 consid. 2.2; 138 I 1 consid. 2.2).</w:t>
      </w:r>
    </w:p>
    <w:p>
      <w:r>
        <w:t>Aux termes de l' art. 49 al. 1 CPC , la partie qui entend obtenir la récusation d'un magistrat ou d'un fonctionnaire judiciaire la demande au tribunal aussitôt qu'elle a eu connaissance du motif de récusation. À défaut, elle est déchue du droit de s'en prévaloir ultérieurement ( ATF 139 III 120 consid. 3.2.1; 136 I 207 consid. 3.4; ATF 134 I 20 consid. 4.3.1).</w:t>
      </w:r>
    </w:p>
    <w:p>
      <w:r>
        <w:rPr>
          <w:b/>
        </w:rPr>
        <w:t>E. 4.1</w:t>
      </w:r>
    </w:p>
    <w:p>
      <w:r>
        <w:t>La cour cantonale a écarté les motifs de récusation soulevés par la recourante. Celle-ci prétendait que l'expert s'était forgé une opinion négative à son sujet, qui s'était traduite dans un e-mail remontant au 23 novembre 2022, époque à laquelle il avait été mandaté dans un cadre extra-judiciaire pour dresser la liste des défauts grevant une autre construction réalisée (notamment) par la recourante. Cela étant, il n'était pas clairement établi avec quelle entité - de la recourante ou d'une autre société, éventuellement apparentée - l'expert avait eu à traiter à cette époque-là. À supposer qu'il se soit agi de la recourante, les contacts avaient quoi qu'il en soit été ponctuels. Quand bien même l'expert avait décelé des "non-conformités constructives", ceci ne l'obligeait pas à se récuser dans la présente affaire. Au contraire, la manière dont il s'était déterminé sur la requête de récusation montrait qu'il tirait de cette expérience passée des éléments positifs, à savoir que la recourante avait bien assumé ses responsabilités et remédié à satisfaction aux problématiques constatées. Les juges cantonaux ont relevé que les e-mails produits par la recourante dénotaient une attitude moralisatrice de l'expert et un ton sec, voire même des expressions qu'ils ont qualifiées de "légèrement désobligeantes". Cela étant, ils ont aussi noté que ces propos faisaient suite à l'absence non annoncée de la recourante à une séance qui était pourtant planifiée. À leurs yeux, l'expert avait été agacé par une situation ponctuelle, sans qu'il faille en déduire qu'il s'était forgé une opinion négative et arrêtée sur la recourante ou sa manière de travailler.</w:t>
      </w:r>
    </w:p>
    <w:p>
      <w:r>
        <w:rPr>
          <w:b/>
        </w:rPr>
        <w:t>E. 4.2</w:t>
      </w:r>
    </w:p>
    <w:p>
      <w:r>
        <w:t>La recourante se plaint d'arbitraire dans l'appréciation des preuves. Elle voit dans la manière dont l'expert s'est adressé à elle par courriel en 2022 l'expression d'un jugement personnel défavorable et non simplement une réaction d'humeur. Elle estime que ce dernier est tenu d'adopter en tout temps une distance et une retenue professionnelles qu'il aurait piétinées dans le cas présent. En conséquence de quoi, elle maintient qu'il ne dispose plus de l'impartialité et de l'indépendance requises.</w:t>
      </w:r>
    </w:p>
    <w:p>
      <w:r>
        <w:rPr>
          <w:b/>
        </w:rPr>
        <w:t>E. 4.3</w:t>
      </w:r>
    </w:p>
    <w:p>
      <w:r>
        <w:t>Cette argumentation ne convainc pas. En parcourant l'e-mail dont il est question (dont la recourante fournit un extrait dans son recours), on ne perçoit pas la marque de l'inimitié que la recourante prétend y lire. Certes, certaines expressions sont pour le moins "fleuries"; ainsi lorsqu'il est question de la recourante dont il est expliqué que si elle s'obstine à "faire l'autruche", elle s'exposera à une poursuite de la procédure d'expertise. Pour surprenantes et délicates qu'elles soient dans le contexte du mandat dont il était chargé à l'époque, ces expressions ne sont pas nécessairement la marque d'une antipathie vis-à-vis de la recourante; il était parfaitement concevable de les mettre en rapport avec le temps que l'absence inopinée de la recourante - si c'est bien d'elle dont il s'agit - à une séance pourtant planifiée avait fait perdre aux protagonistes, ce qui peut effectivement susciter quelques pointes de vocabulaire, sans pour autant que ceci traduise un sentiment plus profond ou durable. Ainsi, c'est à raison que la cour cantonale en a conclu qu'il n'existait pas de motif de récusation à l'encontre de la personne de l'expert.</w:t>
      </w:r>
    </w:p>
    <w:p>
      <w:r>
        <w:rPr>
          <w:b/>
        </w:rPr>
        <w:t>E. 5</w:t>
      </w:r>
    </w:p>
    <w:p>
      <w:r>
        <w:t>Partant, le recours doit être rejeté. Vu cette issue, la recourante assumera les frais judiciaires. Elle n'aura pas de dépens à verser à son adverse partie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