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4A_640/2024 vom 5. Dezember 2024</w:t>
      </w:r>
    </w:p>
    <w:p>
      <w:r>
        <w:t>Bundesgericht, 2024-12-05, FR</w:t>
      </w:r>
    </w:p>
    <w:p>
      <w:r>
        <w:rPr>
          <w:b/>
        </w:rPr>
        <w:t xml:space="preserve">Quelle: </w:t>
      </w:r>
      <w:r>
        <w:t>https://mcp.opencaselaw.ch/entscheid/bger_4A_640_2024</w:t>
      </w:r>
    </w:p>
    <w:p>
      <w:r>
        <w:t>FR: TF 4A_640/2024 du 5 décembre 2024</w:t>
      </w:r>
    </w:p>
    <w:p>
      <w:r>
        <w:t>IT: TF 4A_640/2024 del 5 dicembre 2024</w:t>
      </w:r>
    </w:p>
    <w:p>
      <w:pPr>
        <w:pStyle w:val="Heading2"/>
      </w:pPr>
      <w:r>
        <w:t>Erwägungen</w:t>
      </w:r>
    </w:p>
    <w:p>
      <w:r>
        <w:rPr>
          <w:b/>
        </w:rPr>
        <w:t>E. 1</w:t>
      </w:r>
    </w:p>
    <w:p>
      <w:r>
        <w:t>Statuant par arrêt du 16 septembre 2024, la Chambre des baux et loyers de la Cour de justice du canton de Genève a déclaré irrecevable l'appel formé par A.________ à l'encontre du jugement rendu le 28 mars 2024 par le Tribunal des baux et loyers genevois dans le cadre du litige divisant le prénommé et B.________, d'une part, d'avec C.________, d'autre part.</w:t>
      </w:r>
    </w:p>
    <w:p>
      <w:r>
        <w:rPr>
          <w:b/>
        </w:rPr>
        <w:t>E. 2</w:t>
      </w:r>
    </w:p>
    <w:p>
      <w:r>
        <w:t>Le 29 novembre 2024, A.________ et B.________ (ci-après: les recourants) ont recouru au Tribunal fédéral contre cet arrêt. Le Tribunal fédéral n'a pas requis le dépôt d'une réponse au recours.</w:t>
      </w:r>
    </w:p>
    <w:p>
      <w:r>
        <w:rPr>
          <w:b/>
        </w:rPr>
        <w:t>E. 3</w:t>
      </w:r>
    </w:p>
    <w:p>
      <w:r>
        <w:t>Le Tribunal fédéral examine d'office et librement les conditions de recevabilité des recours qui lui sont soumis ( ATF 145 I 239 consid. 2).</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w:t>
      </w:r>
    </w:p>
    <w:p>
      <w:r>
        <w:rPr>
          <w:b/>
        </w:rPr>
        <w:t>E. 3.2</w:t>
      </w:r>
    </w:p>
    <w:p>
      <w:r>
        <w:t>En l'occurrence, il ressort de l'extrait de suivi des envois de La Poste suisse que la décision cantonale entreprise a été notifiée aux recourants le 18 octobre 2024. Déposé le 29 novembre 2024, le recours est dès lors tardif et, partant, manifestement irrecevable, ce qu'il convient de constater selon la procédure simplifiée de l' art. 108 al. 1 let. a LTF .</w:t>
      </w:r>
    </w:p>
    <w:p>
      <w:r>
        <w:rPr>
          <w:b/>
        </w:rPr>
        <w:t>E. 4</w:t>
      </w:r>
    </w:p>
    <w:p>
      <w:r>
        <w:t>Étant donné les circonstances, le Tribunal fédéral renoncera exceptionnellement à la perception des frais judiciaires ( art. 66 al. 1 LTF ). Il n'y a pas lieu à l'allocation de dépens, dès lors que la partie intimée n'a pas été invitée à se déterminer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