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63/2014 vom 28. Mai 2014</w:t>
      </w:r>
    </w:p>
    <w:p>
      <w:r>
        <w:t>Bundesgericht, 2014-05-28, FR</w:t>
      </w:r>
    </w:p>
    <w:p>
      <w:r>
        <w:rPr>
          <w:b/>
        </w:rPr>
        <w:t xml:space="preserve">Quelle: </w:t>
      </w:r>
      <w:r>
        <w:t>https://mcp.opencaselaw.ch/entscheid/bger_4A_63_2014</w:t>
      </w:r>
    </w:p>
    <w:p>
      <w:r>
        <w:t>FR: TF 4A 63/2014 du 28 mai 2014</w:t>
      </w:r>
    </w:p>
    <w:p>
      <w:r>
        <w:t>IT: TF 4A 63/2014 del 28 maggio 2014</w:t>
      </w:r>
    </w:p>
    <w:p>
      <w:pPr>
        <w:pStyle w:val="Heading2"/>
      </w:pPr>
      <w:r>
        <w:t>Regeste</w:t>
      </w:r>
    </w:p>
    <w:p>
      <w:r>
        <w:t>procédure civile, compétence à raison du lieu | Droit des contrats</w:t>
      </w:r>
    </w:p>
    <w:p>
      <w:pPr>
        <w:pStyle w:val="Heading2"/>
      </w:pPr>
      <w:r>
        <w:t>Erwägungen</w:t>
      </w:r>
    </w:p>
    <w:p>
      <w:r>
        <w:rPr>
          <w:b/>
        </w:rPr>
        <w:t>E. 1</w:t>
      </w:r>
    </w:p>
    <w:p>
      <w:r>
        <w:t>L'arrêt attaqué est une décision incidente relative à la compétence de la Chambre patrimoniale; il est susceptible du recours séparé prévu par l' art. 92 al. 1 LTF . Contrairement à l'opinion du demandeur, ce recours séparé n'est pas soumis aux exigences de l' art. 93 al. 1 let. b LTF . Les conditions de recevabilité du recours en matière civile sont par ailleurs satisfaites, notamment à raison de la valeur litigieuse.</w:t>
      </w:r>
    </w:p>
    <w:p>
      <w:r>
        <w:rPr>
          <w:b/>
        </w:rPr>
        <w:t>E. 2</w:t>
      </w:r>
    </w:p>
    <w:p>
      <w:r>
        <w:t>Les défendeurs font grief aux autorités précédentes d'avoir méconnu l' art. 55 al. 1 CPC , relatif à la maxime des débats, en fondant le rejet de l'exception d'incompétence sur des faits - la conclusion et l'exécution d'un contrat de mandat entre le demandeur et feu C.X.________ - qui n'avaient pas été valablement allégués dans le procès. Ils reprochent également à la Cour d'appel d'avoir violé leur droit d'être entendus ( art. 29 al. 2 Cst. et 53 al. 1 CPC) en ne leur laissant pas la possibilité de déposer une réplique en appel.</w:t>
      </w:r>
    </w:p>
    <w:p>
      <w:r>
        <w:rPr>
          <w:b/>
        </w:rPr>
        <w:t>E. 3</w:t>
      </w:r>
    </w:p>
    <w:p>
      <w:r>
        <w:t>La Cour d'appel a reçu le mémoire d'appel des défendeurs puis elle l'a transmis au demandeur avec un délai de réponse, conformément à l' art. 312 al. 1 CPC ; elle a ensuite notifié la réponse aux défendeurs conformément à l' art. 136 let . c CPC. Elle n'a pas, et elle n'était pas tenue d'ordonner ou d'autoriser un deuxième échange d'écritures selon l' art. 316 al. 2 CPC . Néanmoins, dans les procédures judiciaires soumises à l' art. 29 al. 1er Cst. , chaque partie jouit de par cette disposition d'un droit de réplique élargi, c'est-à-dire du droit de prendre position sur toutes les écritures de l'autorité précédente ou des adverses parties, indépendamment de la présence d'éléments nouveaux et importants dans ces documents. A la partie assistée d'un avocat, l'autorité peut se borner à transmettre « pour information »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 ATF 138 I 484 consid. 2 p. 485; 138 I 154 consid. 2.3.3 p. 157). En l'espèce, la Cour d'appel a reçu la réponse à l'appel le 3 décembre 2013 et elle a statué le 13 suivant. Elle n'a tenu aucun compte du temps nécessaire d'abord à la transmission de cette réponse aux demandeurs, puis à la rédaction et à l'envoi d'une éventuelle réplique. Elle n'a non plus tenu aucun compte de l'annonce de cette réplique par les défendeurs, par télécopie du 11 décembre. La « réplique spontanée » des défendeurs est néanmoins mentionnée dans l'arrêt, ce qui est propre à faire croire faussement que les juges en avaient connaissance lors de leur décision. En réalité, les défendeurs se plaignent à bon droit d'une violation de leur droit à la réplique, ce qui entraîne l'annulation de la décision attaquée selon leurs conclusions subsidiaires.</w:t>
      </w:r>
    </w:p>
    <w:p>
      <w:r>
        <w:rPr>
          <w:b/>
        </w:rPr>
        <w:t>E. 4</w:t>
      </w:r>
    </w:p>
    <w:p>
      <w:r>
        <w:t>Dans leur mémoire d'appel puis dans leur réplique, les défendeurs ont soigneusement développé le moyen qu'ils prétendent tirer, contre le jugement incident, de l' art. 55 al. 1 CPC ; il s'agissait d'un élément important, voire essentiel de la contestation élevée contre ce jugement. Or, la Cour d'appel rejette ce moyen de manière seulement implicite, sans lui consacrer aucune discussion dans les motifs de sa décision. Celle-ci n'est donc pas motivée conformément à ce qu'exigent les art. 318 al. 2 CPC et 112 al. 2 let. b LTF; elle doit être annulée également en raison de cette carence.</w:t>
      </w:r>
    </w:p>
    <w:p>
      <w:r>
        <w:rPr>
          <w:b/>
        </w:rPr>
        <w:t>E. 5</w:t>
      </w:r>
    </w:p>
    <w:p>
      <w:r>
        <w:t>A titre de partie qui succombe, le demandeur doit acquitter l'émolument à percevoir par le Tribunal fédéral et les dépens auxquels ses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