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638/2024 vom 27. März 2025</w:t>
      </w:r>
    </w:p>
    <w:p>
      <w:r>
        <w:t>Bundesgericht, 2025-03-27, FR</w:t>
      </w:r>
    </w:p>
    <w:p>
      <w:r>
        <w:rPr>
          <w:b/>
        </w:rPr>
        <w:t xml:space="preserve">Quelle: </w:t>
      </w:r>
      <w:r>
        <w:t>https://mcp.opencaselaw.ch/entscheid/bger_4A_638_2024</w:t>
      </w:r>
    </w:p>
    <w:p>
      <w:r>
        <w:t>FR: TF 4A 638/2024 du 27 mars 2025</w:t>
      </w:r>
    </w:p>
    <w:p>
      <w:r>
        <w:t>IT: TF 4A 638/2024 del 27 marzo 2025</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qu'elles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siège respectivement son domicile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sa motivation, de l'unique moyen invoqué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 e LDIP, reproche à la Formation d'avoir enfreint le principe de la fidélité contractuelle et, partant, d'avoir rendu une sentence incompatible avec l'ordre public matériel.</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du 14 décembre 2017 consid. 3.3.3).</w:t>
      </w:r>
    </w:p>
    <w:p>
      <w:r>
        <w:rPr>
          <w:b/>
        </w:rPr>
        <w:t>E. 5.2</w:t>
      </w:r>
    </w:p>
    <w:p>
      <w:r>
        <w:t>Le principe de la fidélité contractuelle,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(arrêts 4A_660/2020 du 15 février 2021 consid. 3.2.2; 4A_70/2020 du 18 juin 2020 consid. 7.3.1; 4A_318/2017 du 28 août 2017 consid. 4.2).</w:t>
      </w:r>
    </w:p>
    <w:p>
      <w:r>
        <w:rPr>
          <w:b/>
        </w:rPr>
        <w:t>E. 5.3</w:t>
      </w:r>
    </w:p>
    <w:p>
      <w:r>
        <w:t>Dans la sentence attaquée, la Formation, appliquant la réglementation adoptée par la FIFA et le droit suisse à titre subsidiaire, estime que le recourant a licencié l'intimé sans juste motif le 12 mars 2021. Examinant ensuite les conséquences financières résultant de cette résiliation injustifiée, elle considère que l'art. 5 du contrat de travail conclu par les parties est nul car il contrevient à l'art. 337c al. 1 du Code des obligations suisse (CO; RS 220), disposition qui revêt un caractère semi-impératif ( art. 362 CO ). À cet égard, les arbitres soulignent que le montant de l'indemnité prévu à l'art. 5 du contrat de travail (204'000 EUR) est sensiblement inférieur à la somme que l'intimé aurait touché, conformément à l' art. 337c al. 1 CO , si les rapports de travail avaient pris fin à l'échéance convenue. Ils sont d'avis que le travailleur ne peut pas renoncer, pendant la durée du contrat, aux créances résultant de dispositions impératives de la loi ( art. 341 al. 1 CO ). La Formation aboutit ainsi à la conclusion que l'intimé a droit à un montant de 469'200 EUR, intérêts en sus, à titre d'indemnité pour licenciement immédiat injustifié.</w:t>
      </w:r>
    </w:p>
    <w:p>
      <w:r>
        <w:rPr>
          <w:b/>
        </w:rPr>
        <w:t>E. 5.4</w:t>
      </w:r>
    </w:p>
    <w:p>
      <w:r>
        <w:t>Dans son mémoire de recours, l'intéressé fait valoir qu'il existe une contradiction intrinsèque dans la sentence entreprise, dès lors que le TAS a reconnu, dans un premier temps, que l'art. 5 du contrat de travail constituait une clause valide au regard de la réglementation adoptée par la FIFA, mais a pourtant jugé, dans un second temps, que ladite clause était contraire au droit suisse. Selon le recourant, la Formation n'aurait pas dû se référer au droit matériel suisse, applicable à titre subsidiaire, dans la mesure où la réglementation édictée par la FIFA était suffisante pour résoudre le problème litigieux. Le recourant reproche ainsi aux arbitres d'avoir appliqué à tort le droit suisse pour fixer le montant de l'indemnité due à l'intimé.</w:t>
      </w:r>
    </w:p>
    <w:p>
      <w:r>
        <w:rPr>
          <w:b/>
        </w:rPr>
        <w:t>E. 5.5</w:t>
      </w:r>
    </w:p>
    <w:p>
      <w:r>
        <w:t>Tel qu'il est présenté, le grief ne saurait prospérer. Bien que le recourant prétende le contraire, la Formation n'a pas enfreint le principe de la fidélité contractuelle, au sens restrictif que lui donne la jurisprudence relative à l' art. 190 al. 2 let . e LDIP, puisqu'elle n'a pas refusé d'appliquer une disposition contractuelle en se mettant en contradiction avec le résultat de son interprétation. Contrairement à ce que soutient l'intéressé, la sentence querellée ne souffre d'aucune contradiction interne. La lecture de la décision entreprise permet en effet de constater que la Formation ne s'est pas contredite en refusant d'appliquer l'art. 5 du contrat de travail. Dans un premier temps, la Formation a certes observé que ladite clause remplissait les exigences posées par le TAS dans sa jurisprudence, ce qui pouvait potentiellement la rendre valide (sentence, n. 81: "The Parties have satisfied the CAS case law requirements for validity of a buy-out/penalty clause and the latter is also balanced, proportionate and non-discriminatory, potentially making for a perfectly valid contractual provision...."). Se référant à une pratique bien établie du TAS, elle a toutefois souligné immédiatement ce qui suit (sentence, n. 82) : "82. According to well-established CAS case law, however, "according to Article 341 para. 1 of CO an employee may not waive claims arising from mandatory provisions of law or mandatory provisions of a collective employment contract during the period of the employment relationship and for one month after its end. The provision of Article 337 (c) of CO regarding the employee's claims for financial compensation in case of unilateral termination of an employment contract without just cause by the employer is such a mandatory provision, as explicitly stipulated in Article 362 of CO" (...) ". Poursuivant son analyse, la Formation a considéré que l'art. 5 du contrat de travail était nul car il était incompatible avec l' art. 337c al. 1 CO , disposition revêtant un caractère semi-impératif. Il apparaît ainsi que la Formation a refusé d'appliquer la clause litigieuse car elle était, à son avis, frappée de nullité. Ce faisant, la Formation ne s'est pas mise en contradiction avec le résultat de son interprétation. Le raisonnement tenu par les arbitres pour refuser d'appliquer l'art. 5 du contrat de travail est étranger à la notion de fidélité contractuelle au sens restrictif que lui donne la jurisprudence relative à l' art. 190 al. 2 let . e LDIP. Sous le couvert d'une prétendue violation du principe pacta sunt servanda , l'intéressé ne fait que substituer sa propre appréciation juridique à celle de la Formation et cherche à inciter le Tribunal fédéral à examiner les raisons pour lesquelles celle-ci a appliqué le droit matériel suisse et à faire en sorte qu'il se prononce sur l'articulation entre la réglementation de la FIFA et les règles du droit suisse, ce qui n'est pas admissible. Le point de savoir si l'appréciation juridique des arbitres est matériellement correcte échappe en effet à la cognition du Tribunal fédéral, raison pour laquelle la tentative du recourant est vaine. En tout état de cause, il sied de relever que le résultat auquel a abouti la Formation n'apparaît nullement contraire à l'ordre public matériel visé par l' art. 190 al. 2 let . e LDIP. Il s'ensuit le rejet du grief dans la mesure de sa recevabilité.</w:t>
      </w:r>
    </w:p>
    <w:p>
      <w:r>
        <w:rPr>
          <w:b/>
        </w:rPr>
        <w:t>E. 6</w:t>
      </w:r>
    </w:p>
    <w:p>
      <w:r>
        <w:t>Au vu de ce qui précède, le recours doit être rejeté dans la mesure où il est recevable. Le recourant, qui succombe, supportera les frais de la procédure fédérale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