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4A_638/2021 vom 20. Mai 2022</w:t>
      </w:r>
    </w:p>
    <w:p>
      <w:r>
        <w:t>Bundesgericht, 2022-05-20, FR</w:t>
      </w:r>
    </w:p>
    <w:p>
      <w:r>
        <w:rPr>
          <w:b/>
        </w:rPr>
        <w:t xml:space="preserve">Quelle: </w:t>
      </w:r>
      <w:r>
        <w:t>https://mcp.opencaselaw.ch/entscheid/bger_4A_638_2021</w:t>
      </w:r>
    </w:p>
    <w:p>
      <w:r>
        <w:t>FR: TF 4A_638/2021 du 20 mai 2022</w:t>
      </w:r>
    </w:p>
    <w:p>
      <w:r>
        <w:t>IT: TF 4A_638/2021 del 20 maggio 2022</w:t>
      </w:r>
    </w:p>
    <w:p>
      <w:pPr>
        <w:pStyle w:val="Heading2"/>
      </w:pPr>
      <w:r>
        <w:t>Erwägungen</w:t>
      </w:r>
    </w:p>
    <w:p>
      <w:r>
        <w:rPr>
          <w:b/>
        </w:rPr>
        <w:t>E. 1</w:t>
      </w:r>
    </w:p>
    <w:p>
      <w:r>
        <w:t>Le refus de l'assistance judiciaire dans le procès civil est une décision incidente de nature à causer un préjudice juridique irréparable au plaideur requérant; cette décision est donc susceptible d'un recours séparé selon l' art. 93 al. 1 let. a LTF ( ATF 133 IV 335 consid. 4; 129 I 129 consid. 1.1; arrêts 4A_331/2021 du 7 septembre 2021 consid. 1; 4A_301/2020 du 6 août 2020 consid. 1.2). Pour le surplus, les conditions de recevabilité du recours en matière civile sont réalisées, notamment celles afférentes à la valeur litigieuse minimale de 15'000 fr. ( art. 74 al. 1 let. a LTF ) et au délai de recours ( art. 46 al. 1 let . c et 100 al. 1 LTF).</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Mais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 ATF 139 III 120 consid. 3.1.2; 136 III 123 consid. 4.4.3; arrêt 4A_434/2021 du 18 janvier 2022 consid. 2.2 et les références).</w:t>
      </w:r>
    </w:p>
    <w:p>
      <w:r>
        <w:t>Les pièces nouvelles produites par la recourante sont postérieures à la décision querellée, sans pour autant permettre d'établir la recevabilité du recours. Il n'y a pas lieu d'examiner plus avant la question de la recevabilité de ces pièces puisque, quoi qu'il en soit, elles n'influent pas sur l'issue du litige (cf. consid. 3.5.2</w:t>
      </w:r>
    </w:p>
    <w:p>
      <w:r>
        <w:t>infra ).</w:t>
      </w:r>
    </w:p>
    <w:p>
      <w:r>
        <w:rPr>
          <w:b/>
        </w:rPr>
        <w:t>E. 3</w:t>
      </w:r>
    </w:p>
    <w:p>
      <w:r>
        <w:t>La recourante reproche à l'instance précédente d'avoir considéré que les chances de succès de son appel étaient insuffisantes. Elle dénonce une violation des art. 6 par. 1 CEDH , 29 al. 3 Cst. et 40 al. 3 Cst./GE.</w:t>
      </w:r>
    </w:p>
    <w:p>
      <w:r>
        <w:rPr>
          <w:b/>
        </w:rPr>
        <w:t>E. 3.1.1</w:t>
      </w:r>
    </w:p>
    <w:p>
      <w:r>
        <w:t>En vertu de l' art. 117 CPC - qui concrétise les principes que le Tribunal fédéral a dégagés de l' art. 29 al. 3 Cst. ( ATF 138 III 217 consid. 2.2.3 et les références) -, une personne a droit à l'assistance judiciaire si elle ne dispose pas de ressources suffisantes (let. a) et si sa cause ne paraît pas dépourvue de toute chance de succès (let. b).</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Le critère des chances de succès doit être examiné au moment du dépôt de la requête d'assistance judiciaire et sur la base d'un examen sommaire ( ATF 142 III 138 consid. 5.1; 139 III 475 consid. 2.2; 138 III 217 consid. 2.2.4).</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(arrêts 4A_111/2021 du 26 février 2021 consid. 3.1; 4A_628/2020 du 16 décembre 2020 consid. 5.1; 4D_22/2020 du 29 juin 2020 consid. 4.2.1; 4A_8/2017 du 30 mars 2017 consid. 3.1).</w:t>
      </w:r>
    </w:p>
    <w:p>
      <w:r>
        <w:t>Déterminer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(arrêts précités 4A_111/2021 consid. 3.1; 4A_628/2020 consid. 5.1; 4D_22/2020 consid. 4.2.1; 4A_8/2017 consid. 3.1; cf. aussi ATF 129 I 129 consid. 2.1). 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4A_111/2021 précité consid. 3.1; 4A_628/2020 précité consid. 6; 4D_22/2020 précité consid. 4.2.1; 4A_383/2019 du 30 mars 2020 consid. 3).</w:t>
      </w:r>
    </w:p>
    <w:p>
      <w:r>
        <w:rPr>
          <w:b/>
        </w:rPr>
        <w:t>E. 3.1.2</w:t>
      </w:r>
    </w:p>
    <w:p>
      <w:r>
        <w:t>Applicable à la procédure portant sur l'octroi ou le refus de l'assistance judiciaire, la maxime inquisitoire est limitée par le devoir de collaborer des parties. Ce devoir de collaborer ressort en particulier de l' art. 119 al. 2 CPC qui prévoit que le requérant doit justifier de sa situation de fortune et de ses revenus et exposer l'affaire et les moyens de preuve qu'il entend invoquer. Il lui appartient de motiver sa requête s'agissant des conditions d'octroi de l' art. 117 CPC et d'apporter, à cet effet, tous les moyens de preuve nécessaires et utiles (arrêts 4A_48/2021 du 21 juin 2021 consid. 3.2; 4D_22/2020 précité consid. 4.2.2 et les références).</w:t>
      </w:r>
    </w:p>
    <w:p>
      <w:r>
        <w:rPr>
          <w:b/>
        </w:rPr>
        <w:t>E. 3.2</w:t>
      </w:r>
    </w:p>
    <w:p>
      <w:r>
        <w:t>En l'espèce, l'instance précédente a relevé que la recourante ne contestait pas que la preuve de l'existence d'un contrat de travail lui incombait. Or, il n'apparaissait</w:t>
      </w:r>
    </w:p>
    <w:p>
      <w:r>
        <w:t>a priori pas que les éléments dont elle se prévalait constituaient des moyens de preuve suffisamment probants. L'ouverture d'une instruction pénale pour traite d'être humain ne prouvait pas la réalisation des faits dénoncés, mais indiquait uniquement que des investigations étaient en cours. La version des faits de la recourante était en outre contestée par ses prétendus employeurs. Les déclarations de ces derniers, quand bien même il serait établi que certains des éléments relatés étaient inexacts, étaient, s'agissant des motifs de la venue en Suisse de la recourante, corroborées par les pièces produites - soit la confirmation de facture du 27 septembre 2018 et la garantie de prise en charge du 29 septembre 2018 - et par les témoignages recueillis. Même en admettant que, comme le soutenait la recourante, ces témoignages ne revêtaient pas une crédibilité suffisante pour être pris en compte, il apparaissait peu vraisemblable que cela influe sur l'issue du litige au regard des pièces produites.</w:t>
      </w:r>
    </w:p>
    <w:p>
      <w:r>
        <w:t>Par ailleurs, selon l'instance précédente, il n'apparaissait pas, au degré de la vraisemblance et sur la base d'un examen sommaire, qu'une suspension de la procédure civile dans l'attente de l'issue de la procédure pénale permettrait d'apporter la preuve de l'existence d'un contrat de travail. En effet, outre que le juge civil n'était pas lié par le jugement pénal, la recourante n'exposait pas quelles mesures d'instruction autres que celles opérées dans le cadre de la procédure civile ou auxquelles le Tribunal des prud'hommes ne pourrait procéder seraient susceptibles d'être mises en oeuvre dans le cadre de la procédure pénale.</w:t>
      </w:r>
    </w:p>
    <w:p>
      <w:r>
        <w:t>Enfin, l'instance précédente a relevé que les griefs relatifs à la compétence du Président du Tribunal des prud'hommes pour prononcer l'ouverture des débats principaux et la conservation au dossier de certaines déterminations constituaient des griefs purement formels, dont il n'apparaissait</w:t>
      </w:r>
    </w:p>
    <w:p>
      <w:r>
        <w:t>a priori pas que leur admission pourrait avoir une incidence sur le bien-fondé des prétentions formulées au fond. Or, en l'absence de chances de succès au fond, une personne raisonnable plaidant à ses propres frais renoncerait à engager une procédure d'appel.</w:t>
      </w:r>
    </w:p>
    <w:p>
      <w:r>
        <w:t>L'instance précédente a ainsi considéré que l'appel contre le jugement du Tribunal des prud'hommes ne présentait pas de chances de succès suffisantes pour justifier l'octroi de l'assistance judiciaire.</w:t>
      </w:r>
    </w:p>
    <w:p>
      <w:r>
        <w:rPr>
          <w:b/>
        </w:rPr>
        <w:t>E. 3.3.1</w:t>
      </w:r>
    </w:p>
    <w:p>
      <w:r>
        <w:t>En premier lieu, la recourante soutient que le Ministère public a estimé que les infractions dénoncées reposaient sur des soupçons suffisants pour ouvrir une instruction pénale, notamment pour des faits de traite d'être humain. Ainsi, il y avait des raisons suffisantes d'admettre l'existence d'une relation de travail entre les parties à la procédure civile, au moins au stade de l'analyse de l'assistance judiciaire. Elle ajoute que la décision attaquée a ignoré les éléments symptomatiques d'un cas de traite d'être humain, notamment l'absence de tout contrat écrit et le paiement d'un salaire de misère en liquide. Par ailleurs, la décision ne retenait pas les mensonges de B.________, ni les menaces dont la recourante et l'une des témoins avaient été victimes, ni que les défendeurs avaient porté plainte pénale contre ces dernières dans le but notamment de les harceler, ce qui ressortait pourtant de titres figurant au dossier. La décision ne retenait pas non plus que des actes d'enquête étaient encore en cours dans la procédure pénale, notamment pour vérifier si B.________ avait usé de sa position au sein de F.________ pour modifier sans droit les données personnelles de la recourante. Enfin, cette dernière a reproché à l'instance précédente d'avoir retenu que les pièces produites ne reposaient que sur les déclarations des parties.</w:t>
      </w:r>
    </w:p>
    <w:p>
      <w:r>
        <w:t>Or, l'instance précédente a considéré que les éléments dont la recourante se prévalait pour alléguer l'existence d'un contrat de travail ne constituaient pas des moyens de preuve suffisamment probants. Ceci relève de l'appréciation des preuves, que le Tribunal fédéral ne peut corriger que si elle se révèle arbitraire. Toutefois, la recourante n'invoque pas l'arbitraire. De plus, elle se contente d'opposer sa propre appréciation des preuves à celle de l'instance précédente, sans parvenir à démontrer que cette dernière aurait sombré dans l'arbitraire à cet égard. Il ne suffit pas d'affirmer, vaguement, que les éléments sur lesquels elle se fonde figurent au dossier ou " ressortent sans équivoque des pièces produites ". L'instance précédente a d'ailleurs discuté les prétendus mensonges de B.________ et C.________, ainsi que la crédibilité des témoignages recueillis. En outre, contrairement à ce que soutient la recourante, l'instance précédente n'a pas retenu que les pièces produites ne reposaient que sur les déclarations des parties. Enfin, la recourante fonde certains de ses arguments, notamment en lien avec la procédure pénale, sur des faits qui n'ont pas été constatés par l'instance précédente. La recourante ne démontre pas, par un renvoi précis à ses écritures et aux pièces du dossier, qu'elle aurait présenté ces faits précédemment. Ils ne sauraient ainsi être pris en compte dans le cadre d'un quelconque complément de l'état de fait, qu'elle ne requiert d'ailleurs pas explicitement.</w:t>
      </w:r>
    </w:p>
    <w:p>
      <w:r>
        <w:rPr>
          <w:b/>
        </w:rPr>
        <w:t>E. 3.3.2</w:t>
      </w:r>
    </w:p>
    <w:p>
      <w:r>
        <w:t>En deuxième lieu, concernant sa demande de suspension de la procédure, la recourante soutient que les pouvoirs d'investigation du Ministère public sont plus larges que ceux d'un juge civil. Elle ajoute qu'elle a expliqué dans ses écritures précédentes les mesures d'instruction en cours et celles qu'elle avait requises dans la procédure pénale, et qu'elle a exposé en quoi leur résultat pourrait être déterminant sur l'issue du litige. Enfin, la recourante allègue que si les défendeurs devaient être condamnés pour traite d'être humain, le refus de l'assistance judiciaire aurait pour conséquence de lui interdire de faire valoir ses prétentions civiles, en provoquant l'irrecevabilité de son appel. Elle se verrait également privée de toute possibilité de se défendre au pénal, notamment du fait des conditions prévues par le CPP pour l'octroi de l'assistance judiciaire à une partie plaignante.</w:t>
      </w:r>
    </w:p>
    <w:p>
      <w:r>
        <w:t>L'instance précédente n'a pas nié que le Ministère public disposait de pouvoirs d'investigation plus étendus que ceux du juge civil. Elle a cependant reproché à la recourante de ne pas avoir exposé, notamment, quelles mesures d'instruction autres que celles opérées dans la procédure civile seraient susceptibles d'être mises en oeuvre dans la procédure pénale. Or, la recourante, qui se contente de renvoyer à ses " écritures précédentes ", n'explique pas de quelles mesures d'instruction elle se serait prévalue, ni à quel endroit elle l'aurait fait. La lecture du mémoire de recours qu'elle a déposé devant l'instance précédente ne permet pas de retenir que les considérations de l'instance précédente seraient critiquables. En particulier, on discerne seulement, comme dans le présent recours, une vague allusion à des actes d'enquête en lien avec une prétendue modification des données personnelles de la recourante. Enfin, l'instance précédente a relevé à juste titre que le juge civil n'était pas lié par le jugement pénal (arrêt 4A_230/2021 du 7 mars 2022 consid. 2.2 et les références). En outre, le juge civil doit examiner la question de l'octroi de l'assistance judiciaire pour la procédure dont il est saisi. On ne saurait reprocher à l'instance précédente, laquelle dispose d'un large pouvoir d'appréciation dans l'examen des chances de succès, d'avoir méconnu des circonstances pertinentes dont elle aurait dû tenir compte.</w:t>
      </w:r>
    </w:p>
    <w:p>
      <w:r>
        <w:rPr>
          <w:b/>
        </w:rPr>
        <w:t>E. 3.3.3</w:t>
      </w:r>
    </w:p>
    <w:p>
      <w:r>
        <w:t>En troisième lieu, la recourante soutient que la décision attaquée ignorait les questions de forme posées par son appel, notamment quant à la compétence du Président du Tribunal des prud'hommes de mener seul tout ou partie des débats principaux. Elle fait valoir que ces questions pourraient aboutir à l'annulation du jugement querellé et au renvoi de la cause en première instance pour un nouveau procès, de sorte qu'elle a un intérêt à ce que ces questions soient traitées.</w:t>
      </w:r>
    </w:p>
    <w:p>
      <w:r>
        <w:t>Or, l'instance précédente a considéré que l'éventuelle admission des griefs relatifs à la compétence du Président du Tribunal des prud'hommes pour prononcer l'ouverture des débats principaux et la conservation au dossier des déterminations du 7 juillet 2020 n'avait</w:t>
      </w:r>
    </w:p>
    <w:p>
      <w:r>
        <w:t>a priori pas d'incidence sur les prétentions formulées au fond. Elle a ajouté qu'en l'absence de chances de succès au fond, une personne raisonnable plaidant à ses propres frais renoncerait à engager une procédure d'appel. Ces considérations ne sont pas critiquables. En particulier, les griefs formels de la recourante ne permettraient pas de remettre en cause le fait que, tel que l'a retenu l'instance précédente, l'intéressée n'a pas rendu suffisamment vraisemblable l'existence d'un contrat de travail.</w:t>
      </w:r>
    </w:p>
    <w:p>
      <w:r>
        <w:rPr>
          <w:b/>
        </w:rPr>
        <w:t>E. 3.3.4</w:t>
      </w:r>
    </w:p>
    <w:p>
      <w:r>
        <w:t>En définitive, la recourante se limite, dans une large mesure, à substituer son appréciation à celle de l'instance précédente, sans remettre en cause valablement la motivation de celle-ci, laquelle procède seulement à un examen sommaire des chances de succès. Dans ces conditions, et étant donné la retenue dont le Tribunal fédéral doit faire preuve dans un domaine où le juge cantonal dispose d'un large pouvoir d'appréciation, on ne saurait reprocher à l'instance précédente d'avoir abusé de son pouvoir d'appréciation en considérant que la cause apparaissait dénuée de chances de succès.</w:t>
      </w:r>
    </w:p>
    <w:p>
      <w:r>
        <w:rPr>
          <w:b/>
        </w:rPr>
        <w:t>E. 3.4</w:t>
      </w:r>
    </w:p>
    <w:p>
      <w:r>
        <w:t>La recourante ne démontre pas dans quelle mesure l' art. 40 al. 3 Cst./GE dont elle se prévaut s'étendrait au-delà du contenu de l' art. 29 al. 3 Cst. Dès lors, il n'y a pas lieu d'entrer en matière sur ce grief.</w:t>
      </w:r>
    </w:p>
    <w:p>
      <w:r>
        <w:rPr>
          <w:b/>
        </w:rPr>
        <w:t>E. 3.5</w:t>
      </w:r>
    </w:p>
    <w:p>
      <w:r>
        <w:t>La recourante conclut son argumentation en soutenant que la décision querellée est incompatible avec les règles du procès équitable au sens de l' art. 6 par. 1 CEDH et la prive d'un accès à un juge, en violation de l' art. 13 CEDH en lien avec l' art. 6 par. 1 CEDH . Dans la partie théorique de son mémoire de recours, elle a souligné, en se référant à plusieurs arrêts de la Cour européenne des droits de l'homme, que lorsque le montant de l'avance de frais exigé était très élevé, le droit d'accès à un tribunal pouvait être violé.</w:t>
      </w:r>
    </w:p>
    <w:p>
      <w:r>
        <w:rPr>
          <w:b/>
        </w:rPr>
        <w:t>E. 3.5.1</w:t>
      </w:r>
    </w:p>
    <w:p>
      <w:r>
        <w:t>La Cour européenne des droits de l'homme a déjà relevé qu'une limitation de l'accès à un tribunal ne se conciliait avec l' art. 6 par. 1 CEDH que si elle tendait à un but légitime et s'il existait un rapport raisonnable de proportionnalité entre les moyens employés et le but visé. Elle a par ailleurs précisé que la Convention n'obligeait pas à accorder l'aide judiciaire dans toutes les contestations en matière civile. Un système d'assistance judiciaire ne pouvait pas fonctionner sans la mise en place d'un dispositif permettant de sélectionner les affaires susceptibles d'en bénéficier. Un système qui prévoyait de n'allouer des deniers publics au titre de l'aide judiciaire qu'aux demandeurs dont le pourvoi avait une chance raisonnable de succès ne saurait en soi être qualifié d'arbitraire. La Cour vérifie si les limitations appliquées ne restreignent pas l'accès au tribunal d'une manière telle que le droit s'en soit trouvé atteint dans sa substance même (arrêt CEDH</w:t>
      </w:r>
    </w:p>
    <w:p>
      <w:r>
        <w:t>Kaiser c. Suisse du 9 janvier 2018, requête n° 35294/11, § 59 à 61 et les références).</w:t>
      </w:r>
    </w:p>
    <w:p>
      <w:r>
        <w:rPr>
          <w:b/>
        </w:rPr>
        <w:t>E. 3.5.2</w:t>
      </w:r>
    </w:p>
    <w:p>
      <w:r>
        <w:t>En l'occurrence, il a été constaté que l'instance précédente n'avait pas abusé de son pouvoir d'appréciation en considérant que la cause apparaissait dénuée de chances de succès. De plus, le refus de l'octroi de l'assistance judiciaire n'a pas été prononcé au stade de l'introduction de la demande, mais au stade de l'appel à l'encontre du jugement rendu par le Tribunal des prud'hommes. Ainsi, la recourante n'a pas été privée d'emblée de faire entendre sa cause par un tribunal.</w:t>
      </w:r>
    </w:p>
    <w:p>
      <w:r>
        <w:t>Par ailleurs, lorsque la recourante évoque le montant de l'avance de frais, elle fait implicitement référence à l'avance de frais à hauteur de 800 fr. qu'elle a été invitée à fournir. Or, la présente procédure concerne uniquement le refus de l'assistance judiciaire, et non la décision rendue le 30 novembre 2021 relative à l'avance de frais. Il n'y a donc pas lieu d'entrer en matière sur ce grief-ci.</w:t>
      </w:r>
    </w:p>
    <w:p>
      <w:r>
        <w:rPr>
          <w:b/>
        </w:rPr>
        <w:t>E. 4</w:t>
      </w:r>
    </w:p>
    <w:p>
      <w:r>
        <w:t>En conclusion, le recours doit être rejeté, dans la mesure où il est recevable.</w:t>
      </w:r>
    </w:p>
    <w:p>
      <w:r>
        <w:t>L'effet suspensif ayant été octroyé au présent recours par ordonnance du 24 janvier 2022, il convient d'impartir un nouveau délai à la recourante pour effectuer l'avance de frais requise. Par conséquent, la Chambre des prud'hommes de la Cour de justice du canton de Genève fixera un nouveau délai à la recourante pour verser l'avance de frais.</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la Cour de céans était dépourvue de chances de succès, ce qui entraîne le rejet de la demande d'assistance judiciaire de la recourante. Celle-ci devra supporter les frais judiciaires ( art. 66 al. 1 LTF ). En revanche,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