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4A_637/2021 vom 20. Januar 2022</w:t>
      </w:r>
    </w:p>
    <w:p>
      <w:r>
        <w:t>Bundesgericht, 2022-01-20, DE</w:t>
      </w:r>
    </w:p>
    <w:p>
      <w:r>
        <w:rPr>
          <w:b/>
        </w:rPr>
        <w:t xml:space="preserve">Quelle: </w:t>
      </w:r>
      <w:r>
        <w:t>https://mcp.opencaselaw.ch/entscheid/bger_4A_637_2021</w:t>
      </w:r>
    </w:p>
    <w:p>
      <w:r>
        <w:t>FR: TF 4A_637/2021 du 20 janvier 2022</w:t>
      </w:r>
    </w:p>
    <w:p>
      <w:r>
        <w:t>IT: TF 4A_637/2021 del 20 gennaio 2022</w:t>
      </w:r>
    </w:p>
    <w:p>
      <w:pPr>
        <w:pStyle w:val="Heading2"/>
      </w:pPr>
      <w:r>
        <w:t>Erwägungen</w:t>
      </w:r>
    </w:p>
    <w:p>
      <w:r>
        <w:rPr>
          <w:b/>
        </w:rPr>
        <w:t>E. 1</w:t>
      </w:r>
    </w:p>
    <w:p>
      <w:r>
        <w:t>Mit Urteil vom 21. Juni 2021 wies das Sozialversicherungsgericht des Kantons Zürich die von A.________ (Beschwerdeführerin) erhobene Klage gegen die B.________ AG (Beschwerdegegnerin) ab, wogegen die Beschwerdeführerin Beschwerde an das Bundesgericht erhob (Verfahren 4A_439/2021). Mit Eingabe vom 27. Oktober 2021 beantragte sie am Sozialversicherungsgericht sodann um Revision des Urteils vom 21. Juni 2021, welche das Sozialversicherungsgericht mit Urteil vom 19. November 2021 als offensichtlich unbegründet abwies.</w:t>
      </w:r>
    </w:p>
    <w:p>
      <w:r>
        <w:t>Auch dagegen erhob die Beschwerdeführerin mit Eingabe vom 23. Dezember 2021 Beschwerde an das Bundesgericht. Mit Schreiben vom 4. Januar 2022 beantragte sie um Gewährung der unentgeltlichen Rechtspflege für das bundesgerichtliche Verfahren bzw. alternativ um Umbuchung des im Verfahren 4A_439/2021 geleisteten Kostenvorschusses. Mit einem weiteren Schreiben vom 14. Januar 2022 begehrte die Beschwerdeführerin um Fristerstreckung zur Leistung des Kostenvorschusses und um eine Rückmeldung betreffend dem "Kostenvorschuss Prozedere".</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der Beschwerdeführerin erfüllt diese Begründungsanforderungen offensichtlich nicht. Sie bringt darin zwar vor, dass der Entscheid der Vorinstanz willkürlich, aktenwidrig und nicht nachvollziehbar sei und der Revisionsgrund nach Art. 328 Abs. 1 lit. a ZPO entgegen der Auffassung der Vorinstanz gegeben sei. Sie legt vor Bundesgericht aber bloss in frei gehaltenen Ausführungen ihre Sicht der Dinge dar, ohne indessen auf die Erwägungen der Vorinstanz hinreichend konkret einzugehen, geschweige denn nachvollziehbar aufzuzeigen, inwiefern diese ihre Rechte verletzt haben soll.</w:t>
      </w:r>
    </w:p>
    <w:p>
      <w:r>
        <w:t>Auf die Beschwerde ist somit mangels hinreichender Begründung nicht einzutreten ( Art. 108 Abs. 1 lit. b BGG ).</w:t>
      </w:r>
    </w:p>
    <w:p>
      <w:r>
        <w:rPr>
          <w:b/>
        </w:rPr>
        <w:t>E. 4</w:t>
      </w:r>
    </w:p>
    <w:p>
      <w:r>
        <w:t>Unter den gegebenen Umständen ist für das bundesgerichtliche Verfahren ausnahmsweise auf die Erhebung von Gerichtskosten zu verzichten (Art. 66 Abs. 1 zweiter Satz BGG), womit die Gesuche um Befreiung von diesen Kosten, um Fristerstreckung zur Zahlung des Kostenvorschusses und um Umbuchung eines in einem anderen Verfahren geleisteten Kostenvorschusses gegenstandslos werden. Es erübrigen sich auch weitere Informationen bezüglich dem "Kostenvorschuss Prozedere". Einen Antrag um unentgeltliche Rechtsvertretung stellte die Beschwerdeführerin nicht, zumal dieses Gesuch sowieso abzuweisen gewesen wäre, weil die Beschwerde als von vornherein aussichtslos erscheint ( Art. 64 Abs. 1 BGG ).</w:t>
      </w:r>
    </w:p>
    <w:p>
      <w:r>
        <w:t>D 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