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4A_637/2016 vom 3. März 2017</w:t>
      </w:r>
    </w:p>
    <w:p>
      <w:r>
        <w:t>Bundesgericht, 2017-03-03, DE</w:t>
      </w:r>
    </w:p>
    <w:p>
      <w:r>
        <w:rPr>
          <w:b/>
        </w:rPr>
        <w:t xml:space="preserve">Quelle: </w:t>
      </w:r>
      <w:r>
        <w:t>https://mcp.opencaselaw.ch/entscheid/bger_4A_637_2016</w:t>
      </w:r>
    </w:p>
    <w:p>
      <w:r>
        <w:t>FR: TF 4A_637/2016 du 3 mars 2017</w:t>
      </w:r>
    </w:p>
    <w:p>
      <w:r>
        <w:t>IT: TF 4A_637/2016 del 3 marzo 2017</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w:t>
      </w:r>
    </w:p>
    <w:p>
      <w:r>
        <w:t>Nach den Feststellungen der Vorinstanz wurde die Mietzinserhöhung den Mietern mit dem Schreiben angezeigt, welches an der Informationsveranstaltung vom 20. Februar 2003 zur Unterschrift aufgelegt wurde. Unbestrittenermassen handelt es sich dabei nicht um das amtliche Formular gemäss Art. 269d OR . Umstritten ist, ob eine konsensuale Mietzinserhöhung zustande gekommen ist.</w:t>
      </w:r>
    </w:p>
    <w:p>
      <w:r>
        <w:rPr>
          <w:b/>
        </w:rPr>
        <w:t>E. 2.1</w:t>
      </w:r>
    </w:p>
    <w:p>
      <w:r>
        <w:t>Eine konsensuale Mietvertragsänderung kann zwar einen Verzicht auf die Einhaltung der Formularpflicht rechtfertigen, setzt aber voraus, dass dadurch der Schutzzweck von Art. 269d OR nicht beeinträchtigt wird ( BGE 128 III 419 E. 2.4.2 S. 425 f.; 123 III 70 E. 3b S. 74; Urteile 4D_82/2015 vom 23. Mai 2016 E. 5.2; 4C.496/1994 vom 28. März 1995 E. 2b, in: Pra 1996 Nr. 129 S. 425). Nicht tangiert wird dieser Schutzzweck, wenn feststeht, dass die Mieterschaft über die Anfechtungsmöglichkeit informiert war, dass sie mit dem Verzicht auf das Formular bewusst zum Voraus auf die Anfechtung verzichtet hat und überdies ausgeschlossen werden kann, dass sie unter Druck stand ( BGE 123 III 70 E. 3b S. 74; zit. Urteil 4D_82/2015 E. 5.2 und Urteile 4A_198/2008 vom 7. Juli 2008 E. 3.1; 4C.283/2002 vom 6. Januar 2003 E. 5).</w:t>
      </w:r>
    </w:p>
    <w:p>
      <w:r>
        <w:rPr>
          <w:b/>
        </w:rPr>
        <w:t>E. 2.2</w:t>
      </w:r>
    </w:p>
    <w:p>
      <w:r>
        <w:t>Die Vorinstanz liess offen, ob mit dem Dokument vom 20. Februar 2003 ein Konsens über die vertragswesentlichen Punkte nachgewiesen ist und welchen Charakter dieses Dokument (Vertrag oder Anwesenheitsliste) hat, da sie die Voraussetzungen für eine konsensuale Mietzinserhöhung als nicht gegeben erachtete. Unter Bezug auf die bundesgerichtliche Rechtsprechung erwog sie, vorliegend mangle es namentlich am Kriterium der Information über die Anfechtungsmöglichkeit und an einem bewussten Verzicht auf die Anfechtung. Die Beschwerdeführerin habe nie behauptet, dass anlässlich der Veranstaltung vom 20. Februar 2003 über die Möglichkeit zur Anfechtung informiert worden sei. Ebensowenig habe sie jemals eingewendet, der Beschwerdegegner habe bewusst auf diese Möglichkeit verzichtet. In Betracht zu ziehen sei auch die Aussage der Zeugin F.________, wonach sie mit der Anrufung der Mieterschlichtungsstelle gerechnet habe, diese Möglichkeit aber mit der "Vereinbarung" habe ausschliessen wollen.</w:t>
      </w:r>
    </w:p>
    <w:p>
      <w:r>
        <w:rPr>
          <w:b/>
        </w:rPr>
        <w:t>E. 2.3</w:t>
      </w:r>
    </w:p>
    <w:p>
      <w:r>
        <w:t>Was die Beschwerdeführerin gegen diese Begründung vorbringt, vermag offensichtlich nicht, diese als rechtsfehlerhaft auszuweisen. Die Feststellung der Vorinstanz, dass an der Veranstaltung vom 20. Februar 2003 nicht über die Möglichkeit der Anfechtung informiert wurde, bestreitet sie nicht. Auch zur von der Vorinstanz zitierten Aussage der Zeugin F.________ äussert sie sich nicht. Es ist daher fraglich, ob diesbezüglich überhaupt eine genügende Rüge vorliegt (vgl. E. 1.1 hiervor). Unbehelflich ist im Übrigen ihr Hinweis, gemäss der Zeugin F.________ habe man nach Fertigstellung der Renovation bewusst vier Monate mit der Mietzinserhöhung gewartet, da der Mieter ja die Möglichkeit haben musste, zu kündigen. Daraus kann zwar abgeleitet werden, dass der Beschwerdeführerin die Anfechtungsmöglichkeit bewusst war, nicht jedoch, dass auch der Beschwerdegegner darüber informiert war - und dies wäre entscheidend.</w:t>
      </w:r>
    </w:p>
    <w:p>
      <w:r>
        <w:rPr>
          <w:b/>
        </w:rPr>
        <w:t>E. 3</w:t>
      </w:r>
    </w:p>
    <w:p>
      <w:r>
        <w:t>Ist nicht von einer genügenden konsensualen Mietzinserhöhung auszugehen, ist weiter zu prüfen, ob ein Rückforderungsanspruch für die bezahlten, im Umfang der Erhöhung jedoch nicht geschuldeten Mietzinsen besteht. Dieser Rückforderungsanspruch stützt sich auf die Normen der ungerechtfertigten Bereicherung ( Art. 62 ff. OR ; BGE 140 III 583 E. 3.2.3 S. 588; 130 III 504 E. 6.2 S. 510 f.; je mit Hinweisen). Wer eine Nichtschuld freiwillig bezahlt, kann das Geleistete zurückfordern, wenn er nachzuweisen vermag, dass er sich über die Schuldpflicht im Irrtum befunden hat. Der Mieter, der eine Klage auf Rückforderung von Mietzinsen anstrengt, weil eine Erhöhung nicht mit dem amtlichen Formular mitgeteilt worden war, muss dabei aber nicht beweisen, dass er keine Kenntnis der Rechtslage und der sich daraus ergebenden Rechte hatte, denn eine Vermutung der Rechtskenntnis liefe dem mit dem amtlichen Formular angestrebten Zweck zuwider ( BGE 113 II 187 E. 1a S. 188 f.).</w:t>
      </w:r>
    </w:p>
    <w:p>
      <w:r>
        <w:rPr>
          <w:b/>
        </w:rPr>
        <w:t>E. 3.1</w:t>
      </w:r>
    </w:p>
    <w:p>
      <w:r>
        <w:t>Die Vorinstanz bejahte die Voraussetzungen für die Rückerstattung der monatlich zu viel bezahlten Fr. 220.--, die im Sinn von Art. 63 OR eine Nichtschuld darstellten. Der Beschwerdegegner habe sich in einem Irrtum bezüglich der rechtlichen und formalen Anforderungen an eine Mietzinserhöhung befunden, denn es sei davon auszugehen, dass er als nicht rechtskundige Person davon keine Kenntnis gehabt habe. Dieser Umstand werde im konkreten Fall überdies dadurch bestärkt, dass er seit 1987 in derselben Wohnung eingemietet gewesen sei und sich deshalb während längerer Zeit nicht mehr mit den Gegebenheiten des Mietmarktes beschäftigt haben dürfte. So sei es denn keineswegs abwegig, dass er tatsächlich erst im Zusammenhang mit der Prüfung von Schadenersatzansprüchen gegen die Beschwerdeführerin aus Werkeigentümerhaftung wegen eines im Januar 2013 erlittenen Unfalls von seinem Anwalt auf die formellen Mängel dieser Mietzinserhöhung aufmerksam gemacht worden sei.</w:t>
      </w:r>
    </w:p>
    <w:p>
      <w:r>
        <w:rPr>
          <w:b/>
        </w:rPr>
        <w:t>E. 3.2</w:t>
      </w:r>
    </w:p>
    <w:p>
      <w:r>
        <w:t>Wenn die Beschwerdeführerin ausführt, seit Mietbeginn 1987 sei der Mietzins mindestens einmal erhöht worden, woraus sie ableiten will, dass dem Beschwerdegegner die Formalien einer Mietzinserhöhung bekannt gewesen seien, erweitert sie unzulässig den von der Vorinstanz festgestellten Sachverhalt (vgl. E. 1.2 hiervor). Ihre weiteren Einwendungen beschränken sich darauf, dass heute aufgrund der bereits seit langem bestehenden Formularpflicht bei Mietzinserhöhungen diese dem "Durchschnittsbürger" bekannt sei und daher nicht von einem Irrtum des Beschwerdegegners ausgegangen werden könne. Massgeblich ist nicht, was der "Durchschnittsbürger" allenfalls weiss, sondern von welchen Kenntnissen man beim konkreten Mieter auszugehen hat. Diesbezüglich ist den zutreffenden Erwägungen der Vorinstanz nichts beizufügen.</w:t>
      </w:r>
    </w:p>
    <w:p>
      <w:r>
        <w:rPr>
          <w:b/>
        </w:rPr>
        <w:t>E. 4.1</w:t>
      </w:r>
    </w:p>
    <w:p>
      <w:r>
        <w:t>Eine Rückforderung des zu viel bezahlten Mietzinses ist nach ständiger Rechtsprechung aber ausgeschlossen, wenn sich die Berufung des Mieters auf einen Formmangel bei der Mitteilung der Mietzinserhöhung bzw. einseitigen Änderungen des Mietvertrags zu seinen Lasten als rechtsmissbräuchlich erweist ( BGE 140 III 583 E. 3.2.4 S. 589 mit weiteren Hinweisen). Ob die Berufung auf den Formmangel gegen Treu und Glauben verstösst und damit einen offenbaren Rechtsmissbrauch gemäss Art. 2 Abs. 2 ZGB darstellt, ist in Würdigung aller Umstände des konkreten Falls und nicht nach starren Regeln zu prüfen ( BGE 140 III 583 E. 3.2.4 S. 589, 200 E. 4.2 S. 202; 138 III 123 E. 2.4.2 S. 128; je mit Hinweisen). Die Beweislast für die Umstände, die auf Rechtsmissbrauch schliessen lassen, trägt derjenige, der sich auf Rechtsmissbrauch beruft ( BGE 138 III 425 E. 5.2 S. 431; 134 III 52 E. 2.1 S. 58 f.; je mit Hinweis).</w:t>
      </w:r>
    </w:p>
    <w:p>
      <w:r>
        <w:t>Nach der Rechtsprechung verhält sich rechtsmissbräuchlich, wer einen Vertrag freiwillig, irrtumsfrei und mindestens zur Hauptsache erfüllt hat und hernach den Restanspruch der Gegenpartei unter Verweis auf den Formmangel verweigert.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widerspricht ( BGE 138 III 401 E. 2.3.1 S. 404; Urteil 4C.175/2003 vom 28. Oktober 2003 E. 3.2 a.E.; HAUSHEER/AEBI-MÜLLER, in: Berner Kommentar, 2012, N. 300 zu Art. 2 ZGB ; je mit Hinweisen).</w:t>
      </w:r>
    </w:p>
    <w:p>
      <w:r>
        <w:t>Mit anderen Worten liegt Rechtsmissbrauch vor, wenn derjenige, der sich auf den Formmangel beruft, den Mangel kannte oder nach den konkreten Umständen bei pflichtgemässer Sorgfalt kennen konnte und musste und den Vertrag dennoch freiwillig zur Hauptsache erfüllte.</w:t>
      </w:r>
    </w:p>
    <w:p>
      <w:r>
        <w:t>Wer einen formnichtigen Vertrag freiwillig erfüllt, ohne den Mangel zu kennen oder kennen zu müssen, verhält sich dagegen nicht widersprüchlich, wenn er sich nachträglich wegen des Mangels auf Nichtigkeit beruft ( BGE 138 III 401 E. 2.3.1 S. 404). Die blosse Erfüllung eines formungültigen Vertrags, ohne den Mangel zu kennen oder kennen zu müssen, genügt auch nicht zur Begründung berechtigten Vertrauens der Gegenpartei in die Gültigkeit des Rechtsgeschäfts ( BGE 138 III 401 E. 2.3.3 S. 405; vgl. auch die Urteile 4A_256/2015 vom 17. September 2015 E. 3.3.2 sowie 4A_599/2015 und 4A_603/2015 vom 15. Juni 2016 E. 6.2).</w:t>
      </w:r>
    </w:p>
    <w:p>
      <w:r>
        <w:rPr>
          <w:b/>
        </w:rPr>
        <w:t>E. 4.2</w:t>
      </w:r>
    </w:p>
    <w:p>
      <w:r>
        <w:t>Indem die Vorinstanz Rechtsmissbrauch verneinte, hat sie diese Grundsätze korrekt angewendet. Die Beschwerdeführerin hält dem entgegen, dem Zeitelement müsse bei der Prüfung von Rechtsmissbrauch eine bedeutende Rolle zukommen. In den vom Bundesgericht bisher entschiedenen Fällen sei es um vorbehaltlose Zahlungen des Mietzinses über sechs ( BGE 138 III 401 ), drei ( BGE 113 II 187 ) oder zwei Jahre (zit. Urteil 4A_198/2008, wo die Zahlungen allerdings während vierzehn Jahren erfolgt sind und nicht, wie von der Beschwerdeführerin behauptet, während zwei Jahren, vgl. E. 3 des Urteils) gegangen. Der Mieter sei aber nicht mehr schutzbedürftig, wenn er wie hier über mehr als zwölf Jahre vorbehaltlos bezahlt habe. Mit fortschreitender Zeit müsse davon ausgegangen werden, dass die berechtigten Schutzinteressen des Mieters abnehmen würden. Damit beruft sich die Beschwerdeführerin auf den Schutz berechtigten Vertrauens des Vermieters (durch Zeitablauf). Das Bundesgericht hat diesen Aspekt nicht genügen lassen, wenn kein widersprüchliches Verhalten des Mieters gegeben ist (vgl. E. 4.1 a.E.). Es besteht kein Anlass, diese Rechtsprechung in Frage zu stellen.</w:t>
      </w:r>
    </w:p>
    <w:p>
      <w:r>
        <w:rPr>
          <w:b/>
        </w:rPr>
        <w:t>E. 5.1</w:t>
      </w:r>
    </w:p>
    <w:p>
      <w:r>
        <w:t>Die Beschwerdeführerin rügt eine Verletzung des rechtlichen Gehörs, weil eine von ihr beantragte Zeugin nicht einvernommen worden sei, die hätte bezeugen können, dass der Beschwerdegegner das Dokument vom 20. Februar 2003 an der Versammlung eigenhändig unterzeichnet habe.</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131 I 153 E. 3 S. 157 ; 124 I 241 E. 2 S. 242; je mit Hinweisen). Wie sich aus den vorstehenden Ausführungen ergibt, ist es nicht rechtserheblich, ob die Unterschrift auf dem Dokument vom Beschwerdegegner stammt. Die Vorinstanz liess dies deshalb auch offen und wies den Beweisantrag bezüglich Zeugeneinvernahme zu Recht mangels Relevanz ab. Die Rüge ist abzuweisen.</w:t>
      </w:r>
    </w:p>
    <w:p>
      <w:r>
        <w:rPr>
          <w:b/>
        </w:rPr>
        <w:t>E. 5.2</w:t>
      </w:r>
    </w:p>
    <w:p>
      <w:r>
        <w:t>Unbehelflich ist auch die Rüge der willkürlichen Tatsachenfeststellung, weil die Vorinstanz angenommen habe, das Dokument vom 20. Februar 2003 sei eher eine Art Anwesenheitsliste anstelle eines rechtlich bindenden Vertrages. Die Vorinstanz hat nichts solches festgestellt; vielmehr liess sie die Rechtsnatur gerade offen.</w:t>
      </w:r>
    </w:p>
    <w:p>
      <w:r>
        <w:rPr>
          <w:b/>
        </w:rPr>
        <w:t>E. 6</w:t>
      </w:r>
    </w:p>
    <w:p>
      <w:r>
        <w:t>Die Beschwerde ist somit abzuweisen, soweit darauf einzutreten ist. Dem Ausgang des Verfahrens entsprechend wird die Beschwerdeführerin kosten- und entschädigungspflichtig ( Art. 66 Abs. 1 und Art. 68 Abs. 2 BGG ). Die Entschädigung beträgt praxisgemäss pauschal Fr. 2'500.--. Gründe für eine der eingereichten Kostennote entsprechende, höhere Entschädigung sind vom Beschwerdegegner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