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637/2011 vom 24. November 2011</w:t>
      </w:r>
    </w:p>
    <w:p>
      <w:r>
        <w:t>Bundesgericht, 2011-11-24, DE</w:t>
      </w:r>
    </w:p>
    <w:p>
      <w:r>
        <w:rPr>
          <w:b/>
        </w:rPr>
        <w:t xml:space="preserve">Quelle: </w:t>
      </w:r>
      <w:r>
        <w:t>https://mcp.opencaselaw.ch/entscheid/bger_4A_637_2011</w:t>
      </w:r>
    </w:p>
    <w:p>
      <w:r>
        <w:t>FR: TF 4A 637/2011 du 24 novembre 2011</w:t>
      </w:r>
    </w:p>
    <w:p>
      <w:r>
        <w:t>IT: TF 4A 637/2011 del 24 novembre 2011</w:t>
      </w:r>
    </w:p>
    <w:p>
      <w:pPr>
        <w:pStyle w:val="Heading2"/>
      </w:pPr>
      <w:r>
        <w:t>Regeste</w:t>
      </w:r>
    </w:p>
    <w:p>
      <w:r>
        <w:t>Darlehensvertrag; Liefervertrag | Vertragsrecht</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Der Beschwerdeführer hat sowohl das Urteil des Obergerichts vom 4. Mai 2010 als auch den Zirkulationsbeschluss des Kassationsgerichts vom 8. September 2011 beim Bundesgericht angefochten. Dies ist grundsätzlich zulässig und die Beschwerdefrist ist auch bezüglich des obergerichtlichen Urteils gewahrt (Art. 100 Abs. 6 aBGG [AS 2006 1234], der auf das vorliegende Beschwerdeverfahren noch anwendbar ist, da das angefochtene Urteil des Obergerichts vor Aufhebung dieser Bestimmung eröffnet worden ist [vgl. Art. 405 Abs. 1 ZPO , dazu BGE 137 III 130 E. 2 S. 131 f.]).</w:t>
      </w:r>
    </w:p>
    <w:p>
      <w:r>
        <w:rPr>
          <w:b/>
        </w:rPr>
        <w:t>E. 1.2.1</w:t>
      </w:r>
    </w:p>
    <w:p>
      <w:r>
        <w:t>Das Urteil des Obergerichts ist nur insofern der Beschwerde zugänglich, als es das Erfordernis der Letztinstanzlichkeit erfüllt, mithin für die gegen dieses erhobenen Rügen kein kantonales Rechtsmittel mehr offen stand ( Art. 75 Abs. 1 BGG ; BGE 134 III 524 E. 1.3 S. 527). Gegen das Urteil des Obergerichts konnte kantonale Nichtigkeitsbeschwerde an das Kassationsgericht nach § 281 der (auf den 1. Januar 2011 aufgehobenen) Zivilprozessordnung des Kantons Zürich (aZPO/ZH) erhoben werden, die vorliegend denn auch ergriffen wurde. Nach § 281 aZPO/ZH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aZPO/ZH stets zulässig ist, wenn eine Verletzung von Art. 8, 9, 29 oder 30 BV oder von Art. 6 EMRK geltend gemacht wird.</w:t>
      </w:r>
    </w:p>
    <w:p>
      <w:r>
        <w:rPr>
          <w:b/>
        </w:rPr>
        <w:t>E. 1.2.2</w:t>
      </w:r>
    </w:p>
    <w:p>
      <w:r>
        <w:t>Der Beschwerdeführer richtet seine Beanstandungen vorwiegend gegen das Urteil des Obergerichts. Dabei bringt er vor allem Rügen vor, die er mit der kantonalen Nichtigkeitsbeschwerde dem Kassationsgericht vortragen konnte, so insbesondere die Verletzung des rechtlichen Gehörs und des Willkürverbots sowie Vorbringen gegen die Feststellungen zum tatsächlichen Parteiwillen. Diesbezüglich ist das Urteil des Obergerichts nicht letztinstanzlich und auf entsprechende Rügen dagegen ist nicht einzutreten.</w:t>
      </w:r>
    </w:p>
    <w:p>
      <w:r>
        <w:rPr>
          <w:b/>
        </w:rPr>
        <w:t>E. 1.3.1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1.3.2</w:t>
      </w:r>
    </w:p>
    <w:p>
      <w:r>
        <w:t>Diese Grundsätze verkennt der Beschwerdeführer, soweit er dem Kassationsgericht vorwirft, dieses habe seinen Anspruch auf rechtliches Gehör sowie das Willkürverbot verletzt, indem es aktenwidrig festgestellt habe, dass die im Berufungsverfahren vorgetragenen Argumente des Beschwerdeführers bereits vom Bezirksgericht widerlegt worden sind, bzw. indem es das Vorgehen seiner Vorrichter geschützt habe, obwohl diese auf die Argumente des Beschwerdeführers im Zusammenhang mit der Vertragsqualifikation nicht eingegangen seien. Bei diesen Rügen begnügt sich der Beschwerdeführer im Wesentlichen damit, unter blossem Verweis auf seine im kantonalen Verfahren eingereichte Rechtsschriften Rechtsverletzungen zu behaupten, ohne diese im Einzelnen anhand der Erwägungen im kassationsgerichtlichen Urteil detailliert aufzuzeigen. Seine gegen den Zirkulationsbeschluss des Kassationsgerichts gerichteten Ausführungen genügen den strengen Begründungsanforderungen gemäss Art. 106 Abs. 2 BGG nicht.</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welcher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2</w:t>
      </w:r>
    </w:p>
    <w:p>
      <w:r>
        <w:t>Der Beschwerdeführer rügt, das Obergericht habe die bundesrechtliche Beweisvorschrift von Art. 8 ZGB verletzt, indem es davon ausgegangen ist, die von der Beschwerdegegnerin behaupteten Tatsachen seien erstellt.</w:t>
      </w:r>
    </w:p>
    <w:p>
      <w:r>
        <w:rPr>
          <w:b/>
        </w:rPr>
        <w:t>E. 2.1</w:t>
      </w:r>
    </w:p>
    <w:p>
      <w:r>
        <w:t>Die allgemeine bundesrechtliche Beweisvorschrift von Art. 8 ZGB regelt die Folgen der Beweislosigkeit. Ist eine rechtserhebliche Tatsache weder bewiesen noch widerlegt, so ist Art. 8 ZGB verletzt, wenn die Beweislast falsch verteilt wird (vgl. BGE 134 III 224 E. 7.2 S. 234; 133 III 507 E. 5.2 S. 510; 128 III 271 E. 2a/aa S. 273). Die Norm ist aber auch verletzt, wenn die Voraussetzung der Beweislosigkeit zu Unrecht bejaht oder verneint wird, weil der Beurteilung ein falsches Beweismass zugrunde gelegt (vgl. zum Beweismass BGE 132 III 715 E. 3.1 S. 719 f.; 130 III 321 ) oder weil Beweislosigkeit angenommen wird, obwohl die beweisbelastete Partei taugliche Beweismittel prozessual gehörig angeboten hatte, diese aber nicht abgenommen worden sind ( BGE 122 III 219 E. 3c S. 223 f.; vgl. für den Gegenbeweis auch BGE 129 III 18 E. 2.6 S. 24 f.; 115 II 305 ). Wird dagegen in Beachtung des bundesrechtlich vorgegebenen Beweismasses in Würdigung der vorhandenen Beweise eine rechtserhebliche Tatsache als bewiesen oder als widerlegt erachtet, so ist die bundesrechtliche Beweisvorschrift von Art. 8 ZGB nicht verletzt, denn sie regelt die Beweiswürdigung nicht und schliesst auch die antizipierte Würdigung von Beweisen nicht aus ( BGE 131 I 153 E. 3 S. 157; 122 III 219 E. 3 c S. 223 f.).</w:t>
      </w:r>
    </w:p>
    <w:p>
      <w:r>
        <w:rPr>
          <w:b/>
        </w:rPr>
        <w:t>E. 2.2</w:t>
      </w:r>
    </w:p>
    <w:p>
      <w:r>
        <w:t>Mit seinen verschiedenen Vorbringen gegen die Sachverhaltsfeststellung und Beweiswürdigung verkennt der Beschwerdeführer die Tragweite von Art. 8 ZGB . Inwiefern das Obergericht der Würdigung der Beweise ein bundesrechtswidriges Beweismass zugrunde gelegt haben könnte, ist nicht ersichtlich und erst recht nicht dargetan. Eine Verletzung von Art. 8 ZGB fällt ausser Betracht.</w:t>
      </w:r>
    </w:p>
    <w:p>
      <w:r>
        <w:rPr>
          <w:b/>
        </w:rPr>
        <w:t>E. 3</w:t>
      </w:r>
    </w:p>
    <w:p>
      <w:r>
        <w:t>Soweit der Beschwerdeführer dem Obergericht schliesslich vorwirft, dieses habe die Vorschriften über den Bürgschaftsvertrag zu Unrecht nicht angewendet und den wirklichen Willen der Parteien in Verletzung von Art. 18 OR nicht festgestellt, stützt er sich - ohne Erhebung tauglicher und zulässiger Sachverhaltsrügen - auf einen von den vorinstanzlichen Tatsachenfestellungen abweichenden Sachverhalt. Inwiefern das Obergericht Bundesrechtsnormen verletzt haben könnte, wenn es aufgrund seiner verbindlichen Feststellungen schloss, der Beschwerdeführer sei - zusammen mit den beiden anderen Personen - Vertragspartei der Klägerin sowohl im Darlehensvertrag wie im Getränkelieferungsvertrag, ist den Ausführungen der Beschwerde nicht zu entnehmen.</w:t>
      </w:r>
    </w:p>
    <w:p>
      <w:r>
        <w:rPr>
          <w:b/>
        </w:rPr>
        <w:t>E. 4</w:t>
      </w:r>
    </w:p>
    <w:p>
      <w:r>
        <w:t>Soweit auf die Beschwerde überhaupt eingetreten werden kann, erweist sie sich als offensichtlich unbegründet. Bei diesem Verfahrensausgang sind die Gerichtskosten dem Beschwerdeführer aufzuerlegen. Da keine Beschwerdeantwort eingeholt worden ist, sind der Beschwerdegegnerin Parteikosten nur für die Stellungnahme zum Gesuch um aufschiebende Wirkung erwachsen. Dafür ist ihr eine angemessene Entschädigung zu Lasten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