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636/2014 vom 16. März 2015</w:t>
      </w:r>
    </w:p>
    <w:p>
      <w:r>
        <w:t>Bundesgericht, 2015-03-16, DE</w:t>
      </w:r>
    </w:p>
    <w:p>
      <w:r>
        <w:rPr>
          <w:b/>
        </w:rPr>
        <w:t xml:space="preserve">Quelle: </w:t>
      </w:r>
      <w:r>
        <w:t>https://mcp.opencaselaw.ch/entscheid/bger_4A_636_2014</w:t>
      </w:r>
    </w:p>
    <w:p>
      <w:r>
        <w:t>FR: TF 4A 636/2014 du 16 mars 2015</w:t>
      </w:r>
    </w:p>
    <w:p>
      <w:r>
        <w:t>IT: TF 4A 636/2014 del 16 marzo 2015</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Die Beschwerdeführerin wirft dem Schiedsgericht eine Verletzung des rechtlichen Gehörs ( Art. 190 Abs. 2 lit. d IPRG ) vor.</w:t>
      </w:r>
    </w:p>
    <w:p>
      <w:r>
        <w:rPr>
          <w:b/>
        </w:rPr>
        <w:t>E. 3.1</w:t>
      </w:r>
    </w:p>
    <w:p>
      <w:r>
        <w:t>Sie bringt vor, die Beschwerdegegnerin habe von ihr unter anderem gestützt auf Ziffer 12.2 des Vertrags vom 4. Oktober 2010 die Bezahlung einer Entschädigung für die vorzeitige Beendigung des Vertrags in der Höhe von EUR 3.6 Mio. gefordert, entsprechend 20 % des vertraglich festgehaltenen Gesamtwerts des Vertrags von EUR 18 Mio. Sie selber habe gegenüber dieser Forderung verschiedene Einreden und Einwendungen geltend gemacht. Neben der Einwendung, dass die Voraussetzungen für die Entschädigung gemäss Ziffer 12.2 des Vertrags nicht erfüllt seien, habe sie vorgebracht, dass die in Ziffer 12.2 vereinbarte Entschädigung nach englischem Recht nicht durchsetzbar sei, weil es sich um eine unzulässige Strafzahlung ("penalty") handle. Das Schiedsgericht habe festgestellt, dass eine Klausel, nach der bei Vertragsbruch oder Nichterfüllung eine Geldsumme bezahlt werden müsse, nach englischem Recht durchsetzbar sei, wenn diese Summe den ernsthaften Versuch einer Schätzung der mutmasslichen Verluste nicht übersteige, und dass sie - sofern sie nicht eine unzulässige Vertragsstrafe darstelle - unabhängig vom tatsächlich erlittenen Schaden durchsetzbar sei. Gestützt darauf habe das Schiedsgericht ausgeführt, es habe zu beurteilen, ob die geforderte Summe von EUR 3.6 Mio. objektiv einem ernsthaften Versuch der Schätzung des Schadens entsprochen habe, den der Beschwerdegegnerin als Folge der Vertragsbeendigung hätte entstehen können. Es habe befunden, dass die Beschwerdegegnerin bei einer vorzeitigen Beendigung des Vertrags einen Schaden in der Höhe des entgangenen Gewinns und eines Deckungsbeitrags für die Kosten des Besitzes und des Unterhalts des für den Einsatz vorgesehenen Seebaggerschiffs "D.________" erleiden würde. Das Schiedsgericht habe gestützt darauf eine Schätzung dieser Schadenspositionen im Sinne einer Betrachtung ex ante vorgenommen. Den entgangenen Gewinn habe es mit EUR 1.6 Mio. veranschlagt, wobei es sich auf die diesbezüglichen Angaben in der zweiten schriftlichen Zeugenaussage von E.________ gestützt habe. Dieser habe erklärt, die Beschwerdegegnerin realisiere üblicherweise einen Gewinn von 10 % bei ihren Verträgen und er erwarte bei diesem Vertrag eine Gewinnmarge von 10 % auf den für die Erfüllung anfallenden Kosten und damit einen Gewinn von ca. 9 % des Gesamtwerts des Vertrags. Das Schiedsgericht habe gestützt auf diese Angabe allein - ohne jegliche kritische Prüfung - einen entgangenen Gewinn von EUR 1.6 Mio. angenommen, was ungefähr 9 % des Vertragswerts von EUR 18 Mio. entspreche. In einem nächsten Schritt habe das Schiedsgericht gefolgert, dass die vereinbarte Summe von EUR 3.6 Mio. einen ernsthaften Versuch einer Schätzung des mutmasslichen Schadens nur überschreiten würde und damit nicht durchsetzbar wäre, falls der Deckungsbeitrag an die Kosten für den Besitz und den Unterhalt des vorgesehenen Seebaggerschiffs "D.________" mit weniger als EUR 2 Mio. zu veranschlagen wäre. Mit einem lapidaren und pauschalen Verweis auf die Zeugenaussage von E.________, ohne jegliche Prüfung oder Nennung von Zahlen, habe das Schiedsgericht befunden, die Kosten für Besitz und Unterhalt würden sich nach vernünftiger Schätzung auf weit über EUR 2 Mio. belaufen. Entsprechend sei das Schiedsgericht von einem aufgrund der Vertragsbeendigung zu erwartenden Gesamtverlust von mehr als EUR 3.6 Mio. und damit von der Zulässigkeit der Strafzahlung nach englischem Recht ausgegangen. Ihre Einwendungen, so die Beschwerdeführerin weiter, seien dabei in keiner Weise berücksichtigt worden. Das Schiedsgericht stütze seine Beurteilung der Einrede der unzulässigen Strafzahlung auf die schriftlichen Zeugenaussagen von E.________, ohne ihre Einreden zu berücksichtigen. So habe sie in ihrer Duplik substantiierte Einwände und Bestreitungen gegen die klägerische Bezifferung des entgangenen Gewinns wie folgt vorgebracht: "B.________ SA claim for loss of profit, quantified at EUR1,694,565, is also wildly speculative. The mere fact that B.________ SA now claims to make a profit of around 10% on its operations has no bearing on the profitability of the contract in dispute." Sie habe somit eingewendet, die Bezifferung einer Gewinnmarge für den dem Schiedsverfahren zu Grunde liegenden Vertrag von 10 % sei nicht angemessen; sinngemäss habe sie geltend gemacht, dieser allgemeine Wert könne nicht verwendet werden, weil er die Besonderheiten des Vertrags nicht berücksichtige. Zudem habe sie eingewendet, die entsprechende schriftliche Zeugenaussage sei nicht geeignet, den notwendigen Beweis zu erbringen; vielmehr hätte die Gegenseite für ihre Angaben ein Gutachten eines forensischen Buchprüfungsexperten anbieten müssen, was nicht geschehen sei. Dieses Argument habe das Schiedsgericht im Entscheid überhaupt nicht berücksichtigt. Auch bezüglich der Bestreitung des Deckungsbeitrags für die fixen Kosten habe das Schiedsgericht sie nicht gehört. So habe es pauschal auf die schriftlichen Zeugenaussagen von E.________ abgestellt und festgehalten, aus diesen gehe hervor, dass die Kosten den Betrag von EUR 2 Mio. bei Weitem überschritten, wobei es darauf hingewiesen habe, die Zeugenaussage von E.________ sei unbestritten geblieben ("We had detailed, and unchallenged, witness evidence from Mr E.________ concerning the costs of owning and maintaining 'D.________'"). Die Beschwerdeführerin habe die Zeugenaussage von E.________ jedoch sehr wohl und in verschiedener Hinsicht substantiiert bestritten. So habe sie in ihrer Duplik eingewendet, dass die klägerischen Angaben überhöht und "aufgeblasen" seien. Weiter habe sie geltend gemacht, dass es sich bei der Zeugenaussage von E.________ um eine Parteiaussage handle, und habe darauf hingewiesen, dass die Beschwerdegegnerin es unterlassen habe, den Beweis der Zahlen durch einen unabhängigen Experten anzubieten, weshalb Zweifel an der Substantiierung der geltend gemachten Forderung bestünden. Unter anderem habe sie in der Duplik die vom Zeugen verwendete Abschreibungskomponente als willkürlich bezeichnet und konkrete Bestreitungen gegen die Berechnung der Unterhalts- und Reparaturkosten vorgebracht. Das Schiedsgericht habe diese Vorbringen in seinem Entscheid nicht berücksichtigt und sogar explizit zu Unrecht festgehalten, die Beschwerdeführerin habe den Zeugenbeweis E.________ unbestritten gelassen, worin eine Gehörsverletzung zu erblicken sei.</w:t>
      </w:r>
    </w:p>
    <w:p>
      <w:r>
        <w:rPr>
          <w:b/>
        </w:rPr>
        <w:t>E. 3.2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dennoch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 Der Grundsatz der Gleichbehandlung gebietet zudem, dass die Parteien während des gesamten Schiedsverfahrens gleich behandelt werden (vgl. BGE 133 III 139 E. 6.1 S. 143).</w:t>
      </w:r>
    </w:p>
    <w:p>
      <w:r>
        <w:rPr>
          <w:b/>
        </w:rPr>
        <w:t>E. 3.3</w:t>
      </w:r>
    </w:p>
    <w:p>
      <w:r>
        <w:t>Zunächst ist im Umstand, dass der angefochtene Entscheid nicht ausdrücklich aufführt, dass die Beschwerdeführerin die Anwendbarkeit der allgemeinen Gewinnmarge von 10 % in Frage stellte, entgegen ihrer Ansicht keine Verletzung des Grundsatzes der rechtlichen Gehörs zu erblicken. Hätte das Schiedsgericht tatsächlich unberücksichtigt gelassen, dass die Beschwerdeführerin die klägerische Behauptung einer 10%-igen Gewinnmarge bestritten hatte, wäre es gar nicht veranlasst gewesen, darüber Beweis abzunehmen. Entgegen dem, was die Beschwerdeführerin anzunehmen scheint, ist dem Schiedsgericht zudem durchaus nicht entgangen, dass der mit dem konkret abgeschlossenen Vertrag entgangene Gewinn abzuschätzen und damit den Besonderheiten dieses Vertrags Rechnung zu tragen war. Indem das Schiedsgericht ausgehend von einer von der Beschwerdegegnerin üblicherweise erzielten Marge von 10 % für entsprechende Verträge auf den infolge der Vertragskündigung entgangenen Gewinn schloss, stellte es in Würdigung der vorliegenden Beweise den massgebenden Sachverhalt fest. Die Beschwerdeführerin kritisiert daher lediglich in unzulässiger Weise die Beweiswürdigung durch das Schiedsgericht, wenn sie dessen Annahme einer Gewinnmarge von 10 % bzw. eines Anteils von 9 % des Vertragswerts in Frage stellt. Dass von ihr angebotene Beweise für eine geringere Gewinnmarge übergangen worden wären, macht sie zu Recht nicht geltend. Auch hinsichtlich der Abschätzung der Kosten des Besitzes und des Unterhalts des Baggerschiffs "D.________" vermag die Beschwerdeführerin nicht aufzuzeigen, dass es ihr verunmöglicht worden wäre, ihren Standpunkt in das Verfahren einzubringen. Das Schiedsgericht hat nicht etwa übersehen, dass die Beschwerdeführerin die Behauptungen der Beschwerdegegnerin hinsichtlich der erwähnten Kosten bestritt, ansonsten sich die Würdigung entsprechender Beweise erübrigt hätte. Während die Beschwerdegegnerin die fraglichen Zeugenaussagen von E.________ zum Beweis anbot, verzichtete die Beschwerdeführerin offenbar auf eigene Beweisanträge. Sie macht denn auch zu Recht nicht geltend, in ihrem Vorbringen, sie habe im Schiedsverfahren kritisiert, dass die Beschwerdeführerin kein Gutachten eines forensischen Buchprüfungsexperten angeboten habe, sei eine eigene Beweisofferte zu erblicken, die vom Schiedsgericht in Missachtung des Gehörsanspruchs übergangen worden wäre. Der angefochtene Entscheid hält zudem fest, dass die Beschwerdeführerin im Schiedsverfahren darauf verzichtete, im Rahmen eines Kreuzverhörs Fragen an den von der Beschwerdegegnerin angerufenen Zeugen E.________ zu stellen. Dem Schiedsgericht ist ausserdem nicht etwa entgangen, in welcher Beziehung der fragliche Zeuge zur Beschwerdegegnerin stand, sondern es führte ausdrücklich auf, dass es sich dabei um den Regionalverantwortlichen der C.________-Gruppe für Nord- und Südostasien handelte. Der Vorwurf, das Schiedsgericht habe ihre Vorbringen bezüglich des Beweiswerts der Aussagen von Phillippe E.________ übergangen, ist nicht stichhaltig. Die Rüge der Verletzung des Gehörsanspruchs ist unbegründet.</w:t>
      </w:r>
    </w:p>
    <w:p>
      <w:r>
        <w:rPr>
          <w:b/>
        </w:rPr>
        <w:t>E. 4</w:t>
      </w:r>
    </w:p>
    <w:p>
      <w:r>
        <w:t>Die Beschwerdeführerin wirft dem Schiedsgericht vor, den Grundsatz der Gleichbehandlung der Parteien missachtet zu haben ( Art. 190 Abs. 2 lit. d IPRG ).</w:t>
      </w:r>
    </w:p>
    <w:p>
      <w:r>
        <w:rPr>
          <w:b/>
        </w:rPr>
        <w:t>E. 4.1</w:t>
      </w:r>
    </w:p>
    <w:p>
      <w:r>
        <w:t>Sie sieht eine Ungleichbehandlung darin begründet, dass das Schiedsgericht die Kostennote der Beschwerdegegnerin berücksichtigt habe, obwohl diese erst am 17. Januar 2014 und damit vier Tage nach dem gemäss überarbeitetem Zeitplan vorgesehenen Termin vom 13. Januar 2014 eingereicht worden sei. Der Vorsitzende habe die Beschwerdegegnerin mit E-Mail vom 16. Januar 2014 auf den Ablauf der Frist aufmerksam gemacht und sie aufgefordert, ihre Kostennote nachzureichen. Die Beschwerdeführerin habe die verspätete Eingabe durch die Beschwerdegegnerin im Schiedsverfahren umgehend gerügt und habe darauf aufmerksam gemacht, dass ein Verstoss gegen die Schiedsordnung vorliege. Das Schiedsgericht habe die verspätete Kostennote dennoch zugelassen, sich in seinem Entscheid über die Höhe der Parteientschädigung auf die zu spät eingereichte Kostennote gestützt und die Beschwerdeführerin zu einer entsprechenden Parteientschädigung verpflichtet. Die Ungleichbehandlung sei darin zu erblicken, dass das Schiedsgericht die gegenseitig vereinbarten Fristen nicht beachtet und die Beschwerdegegnerin nach Fristablauf gar aus eigener Initiative aufgefordert habe, die Kostennote nachzureichen.</w:t>
      </w:r>
    </w:p>
    <w:p>
      <w:r>
        <w:rPr>
          <w:b/>
        </w:rPr>
        <w:t>E. 4.2</w:t>
      </w:r>
    </w:p>
    <w:p>
      <w:r>
        <w:t>Die Beschwerdeführerin vermag mit ihren Ausführungen nicht aufzuzeigen, inwiefern die Parteien nicht in allen Verfahrensabschnitten gleich behandelt worden wären (vgl. BGE 133 III 139 E. 6.1 S. 143). Sie macht nicht etwa geltend, sie hätte die Frist für die Einreichung der Kostennote ebenfalls verpasst und ihre Eingabe sei aus diesem Grund - im Gegensatz zu derjenigen der Beschwerdegegnerin - unbeachtet geblieben (vgl. Urteil 4A_468/2007 vom 22. Januar 2008 E. 7.1, nicht publ. in: BGE 134 III 186 ff.). Vielmehr wirft sie dem Schiedsgericht vor, die Verfahrensordnung hätte es nicht gestattet, der Beschwerdegegnerin eine nachträgliche Einreichung der Kostennote zu ermöglichen, und das Schiedsgericht hätte die verspätete Eingabe bei richtiger Anwendung der massgebenden Verfahrensbestimmungen unberücksichtigt lassen müssen. Sie macht damit richtig besehen nicht geltend, der Gegenpartei sei im Rahmen des Verfahrens etwas gewährt worden, was ihr verweigert wurde, sondern wirft dem Schiedsgericht eine unzutreffende Anwendung der konkret anwendbaren Schiedsordnung vor. Eine falsche oder gar willkürliche Anwendung der schiedsgerichtlichen Verfahrensordnung reicht aber für sich allein nicht aus, um einen internationalen Schiedsentscheid aufzuheben (vgl. BGE 126 III 249 E. 3b mit Hinweisen). Im Übrigen wird auch an der in der Beschwerde - nur unvollständig - zitierten Kommentarstelle nicht etwa die Ansicht vertreten, dass das Schiedsgericht bei Fristversäumung aufgrund der in Art. 190 Abs. 2 lit. d IPRG aufgeführten Verfahrensgrundsätze die verspätet vorgenommene Prozesshandlung in jedem Fall unbeachtet lassen müsse. Im Gegenteil wird darin ausdrücklich ausgeführt, dass das Schiedsgericht "nicht zur Nichtbeachtung gezwungen" sei ( MICHAEL E. SCHNEIDER/MATTHIAS SCHERER, in: Basler Kommentar, Internationales Privatrecht, 3. Aufl. 2013, N. 87 zu Art. 182 IPRG ). Eine Verletzung des Gleichbehandlungsgebots liegt nicht vor.</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