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4A_634/2024 vom 6. Dezember 2024</w:t>
      </w:r>
    </w:p>
    <w:p>
      <w:r>
        <w:t>Bundesgericht, 2024-12-06, DE</w:t>
      </w:r>
    </w:p>
    <w:p>
      <w:r>
        <w:rPr>
          <w:b/>
        </w:rPr>
        <w:t xml:space="preserve">Quelle: </w:t>
      </w:r>
      <w:r>
        <w:t>https://mcp.opencaselaw.ch/entscheid/bger_4A_634_2024</w:t>
      </w:r>
    </w:p>
    <w:p>
      <w:r>
        <w:t>FR: TF 4A_634/2024 du 6 décembre 2024</w:t>
      </w:r>
    </w:p>
    <w:p>
      <w:r>
        <w:t>IT: TF 4A_634/2024 del 6 dicembre 2024</w:t>
      </w:r>
    </w:p>
    <w:p>
      <w:pPr>
        <w:pStyle w:val="Heading2"/>
      </w:pPr>
      <w:r>
        <w:t>Erwägungen</w:t>
      </w:r>
    </w:p>
    <w:p>
      <w:r>
        <w:rPr>
          <w:b/>
        </w:rPr>
        <w:t>E. 1</w:t>
      </w:r>
    </w:p>
    <w:p>
      <w:r>
        <w:t>Mit Entscheid vom 2. Oktober 2024 verpflichtete der Einzelrichter des Bezirksgerichts Hochdorf den Beschwerdeführer und die weitere Verfahrensbeteiligte, innert zehn Tagen seit Rechtskraft des Entscheids die von ihnen gemieteten Gewerberäume im Erdgeschoss der Liegenschaft (...) zu räumen, zu reinigen und zu verlassen und der Beschwerdegegnerin sämtliche Schlüssel des Mietobjekts zurückzugeben. Für den Unterlassungsfall wurde Ungehorsamsstrafe nach Art. 292 StGB angedroht und die Beschwerdegegnerin ermächtigt, für die Vollstreckung die Hilfe der Luzerner Polizei in Anspruch zu nehmen. Auf eine vom Beschwerdeführer dagegen erhobene Berufung trat das Kantonsgericht Luzern mit Entscheid vom 29. Oktober 2024 nicht ein. Dagegen erhob der Beschwerdeführer beim Bundesgericht mit vom 27. November 2024 datierter, der Post indessen erst am 28. November 2024 übergebener Eingabe Beschwerde. Auf die Einholung von Vernehmlassungen zur Beschwerde wurde verzichtet.</w:t>
      </w:r>
    </w:p>
    <w:p>
      <w:r>
        <w:rPr>
          <w:b/>
        </w:rPr>
        <w:t>E. 2</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detailliert und klar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w:t>
      </w:r>
    </w:p>
    <w:p>
      <w:r>
        <w:rPr>
          <w:b/>
        </w:rPr>
        <w:t>E. 3</w:t>
      </w:r>
    </w:p>
    <w:p>
      <w:r>
        <w:t>Die Vorinstanz trat auf die Berufung des Beschwerdeführers nicht ein, weil die Berufungsschrift den gesetzlichen Rüge- und Begründungsanforderungen nicht genüge. So setze sich der Beschwerdeführer darin nicht mit den Erwägungen der Erstinstanz auseinander und tue nicht dar, was daran falsch sein solle. Er stelle weder konkrete Anträge noch nehme er auf die erstinstanzlichen Erwägungen Bezug, sondern beschränke sich im Wesentlichen auf eine Wiederholung seiner erstinstanzlichen Vorbringen betreffend Mängel am Mietobjekt und geltend gemachte Forderungen sowie betreffend seine Bereitschaft, die finanziellen Verpflichtungen zu erfüllen, sobald seine Forderungen erfüllt seien. Der Beschwerdeführer setzt sich in seiner Eingabe vom 27./28. November 2024 nicht, jedenfalls nicht hinreichend, mit den entsprechenden Erwägungen der Vorinstanz auseinander und legt nicht, jedenfalls nicht rechtsgenügend dar, welche Rechte diese inwiefern verletzt haben soll, indem sie auf seine Beschwerde mangels genügender Begründung nicht eintrat. Vielmehr unterbreitet er dem Bundesgericht lediglich seine Sicht der Dinge in der Sache selbst. Damit genügt die vorliegende Beschwerde den vorstehend (Erwägung 2) dargestellten Begründungsanforderungen offensichtlich nicht, weshalb darauf nicht eingetreten werden kann ( Art. 108 Abs. 1 lit. b BGG ).</w:t>
      </w:r>
    </w:p>
    <w:p>
      <w:r>
        <w:rPr>
          <w:b/>
        </w:rPr>
        <w:t>E. 4</w:t>
      </w:r>
    </w:p>
    <w:p>
      <w:r>
        <w:t>Dem Ausgang des Verfahrens entsprechend sind die Gerichtskosten dem Beschwerdeführer aufzuerlegen ( Art. 66 Abs. 1 BGG ). Die Beschwerdegegnerin hat keinen Anspruch auf eine Parteientschädigung, da ihr aus dem bundesgerichtlichen Verfahren kein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