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4A_632/2017 vom 15. Januar 2018</w:t>
      </w:r>
    </w:p>
    <w:p>
      <w:r>
        <w:t>Bundesgericht, 2018-01-15, FR</w:t>
      </w:r>
    </w:p>
    <w:p>
      <w:r>
        <w:rPr>
          <w:b/>
        </w:rPr>
        <w:t xml:space="preserve">Quelle: </w:t>
      </w:r>
      <w:r>
        <w:t>https://mcp.opencaselaw.ch/entscheid/bger_4A_632_2017</w:t>
      </w:r>
    </w:p>
    <w:p>
      <w:r>
        <w:t>FR: TF 4A_632/2017 du 15 janvier 2018</w:t>
      </w:r>
    </w:p>
    <w:p>
      <w:r>
        <w:t>IT: TF 4A_632/2017 del 15 gennaio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en tant qu'administrateur président d'une société de gestion, vise avant tout à éviter un interrogatoire, voire une inculpation pénale aux Etats-Unis (cf. infra consid. 2), de sorte qu'il ne poursuit pas un but économique. Partant, la contestation porte sur un droit de nature non pécuniaire ( ATF 142 III 145 consid. 6.1 et 6.2 p. 150 s.) et le recours en matière civile est donc ouvert sans restriction quant à la valeur litigieuse (cf. art. 74 al. 1 LTF</w:t>
      </w:r>
    </w:p>
    <w:p>
      <w:r>
        <w:t>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 Elle examine ensuite si la défenderesse peut se prévaloir d'un motif justificatif - en l'occurrence l'intérêt public prépondérant prévu à l' art. 6 al. 2 let . d, première partie,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du demandeur (à refuser leur communication). Dans ce cadre, l'autorité précédente retient cinq éléments: 1) la possibilité demeure que le DoJ qualifie d'insuffisante la collaboration de la banque, mais cela doit être relativisé, plus d'une année après la signature de l'accord de</w:t>
      </w:r>
    </w:p>
    <w:p>
      <w:r>
        <w:t>Non Prosecution (NPA) et le paiement de l'amende de 187'767'000 USD; 2) il est peu probable que la non-communication du nom d'un administrateur d'une société de gestion externe en lien avec deux comptes soit de nature à remettre en cause l'accord conclu par la banque; 3) la défenderesse n'allègue pas avoir fait l'objet de relances ou de pressions de la part des autorités américaines pour qu'elle transmette la documentation relative au demandeur; 4) la défenderesse ne cite aucun cas où une banque aurait vu son accord annulé ou aurait fait l'objet d'une poursuite en raison d'une communication jugée incomplète; 5) il n'est pas établi qu'une annulation de l'accord NPA aurait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marqué ": les autorités américaines ont clairement affiché leur intention de poursuivre les personnes ayant participé et/ou facilité la mise en place de comptes offshore et, en cas de transmission des données aux autorités américaines, il existe un risque que le demandeur soit interrogé, voire poursuivi s'il se rend aux Etats-Unis.</w:t>
      </w:r>
    </w:p>
    <w:p>
      <w:r>
        <w:rPr>
          <w:b/>
        </w:rPr>
        <w:t>E. 3</w:t>
      </w:r>
    </w:p>
    <w:p>
      <w:r>
        <w:t>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du demandeur à refuser la communication de ses données aux USA) et (comme conséquence logique du constat qui précède) en n'admettant pas l'existence d'un intérêt public prépondérant.</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3.1.1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3.1.2</w:t>
      </w:r>
    </w:p>
    <w:p>
      <w:r>
        <w:t>L'intérêt public doit être prépondérant par rapport à l'intérêt privé du tiers à ce que ses données personnelles ne soient pas communiqués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3.1.3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3.2</w:t>
      </w:r>
    </w:p>
    <w:p>
      <w:r>
        <w:t>Sous couvert d'absence d'intérêt public prépondérant (deuxième condition, cf. supra consid. 3.1.2), la cour cantonale a en réalité examiné la troisième condition, celle du caractère indispensable de la communication en l'état de la situation au moment du jugement (cf. supra consid. 3.1.3), retenant à cet égard cinq éléments: 1) le risque supporté par la banque doit être relativisé, plus d'une année après la signature de l'accord NPA et le paiement de l'amende; 2) le demandeur ayant ouvert seulement deux comptes bancaires, il est peu probable que l'absence de communication soit susceptible de remettre en cause l'accord; 3) la banque n'allègue pas avoir fait l'objet de pressions de la part du DoJ; 4) elle n'allègue pas qu'une autre banque aurait vu son accord annulé en raison d'une communication incomplète; 5) il n'est pas établi qu'une annulation de l'accord NPA aurait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d'un administrateur d'une société de gestion externe en lien avec seulement deux comptes bancaires susceptibles d'être visés par le programme américain, serait de nature à remettre en cause l'accord conclu et/ou à entraîner une inculpation de la banque.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On ne voit donc pas ce qui aurait empêché le DoJ d'en prendre connaissance, le cas échéant, en sollicitant leur transmission au sein de l'administration américaine.</w:t>
      </w:r>
    </w:p>
    <w:p>
      <w:r>
        <w:t>Cela étant, la livraison de ces données par la banque dans le cadre du programme américain ne peut, en l'état actuel, être considérée comme indispensable au sens de l' art. 6 al. 2 let . d LPD.</w:t>
      </w:r>
    </w:p>
    <w:p>
      <w:r>
        <w:rPr>
          <w:b/>
        </w:rPr>
        <w:t>E. 3.3</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(implicitement) d'hypothétique par la cour cantonale d'une intervention américaine.</w:t>
      </w:r>
    </w:p>
    <w:p>
      <w:r>
        <w:t>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en cas de violation des termes de l'accord NPA.</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 comme on l'a vu - à démontrer que ces données sont déjà en mains de l'administration américaine, et donc, l'absence de nécessité de leur communication au DoJ.</w:t>
      </w:r>
    </w:p>
    <w:p>
      <w:r>
        <w:t>Le grief se révèle donc mal fondé.</w:t>
      </w:r>
    </w:p>
    <w:p>
      <w:r>
        <w:rPr>
          <w:b/>
        </w:rPr>
        <w:t>E. 4</w:t>
      </w:r>
    </w:p>
    <w:p>
      <w:r>
        <w:t>Il résulte des considérations qui précèdent que le recours en matière civile doit être rejeté dans la mesure où il est recevable.</w:t>
      </w:r>
    </w:p>
    <w:p>
      <w:r>
        <w:t>Les frais judiciaires sont mis à la charge de la recourante, qui succombe ( art. 66 al. 1 LTF ). Il n'est pas alloué de dépens à l'intimé qui n'a pas été invité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