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632/2016 vom 8. Mai 2017</w:t>
      </w:r>
    </w:p>
    <w:p>
      <w:r>
        <w:t>Bundesgericht, 2017-05-08, FR</w:t>
      </w:r>
    </w:p>
    <w:p>
      <w:r>
        <w:rPr>
          <w:b/>
        </w:rPr>
        <w:t xml:space="preserve">Quelle: </w:t>
      </w:r>
      <w:r>
        <w:t>https://mcp.opencaselaw.ch/entscheid/bger_4A_632_2016</w:t>
      </w:r>
    </w:p>
    <w:p>
      <w:r>
        <w:t>FR: TF 4A 632/2016 du 8 mai 2017</w:t>
      </w:r>
    </w:p>
    <w:p>
      <w:r>
        <w:t>IT: TF 4A 632/2016 del 8 maggio 2017</w:t>
      </w:r>
    </w:p>
    <w:p>
      <w:pPr>
        <w:pStyle w:val="Heading2"/>
      </w:pPr>
      <w:r>
        <w:t>Regeste</w:t>
      </w:r>
    </w:p>
    <w:p>
      <w:r>
        <w:t>contrat d'entreprise totale; prix de l'ouvrage | Droit des contrats</w:t>
      </w:r>
    </w:p>
    <w:p>
      <w:pPr>
        <w:pStyle w:val="Heading2"/>
      </w:pPr>
      <w:r>
        <w:t>Erwägungen</w:t>
      </w:r>
    </w:p>
    <w:p>
      <w:r>
        <w:rPr>
          <w:b/>
        </w:rPr>
        <w:t>E. 1.1</w:t>
      </w:r>
    </w:p>
    <w:p>
      <w:r>
        <w:t>Interjeté par le demandeur qui a entièrement succombé dans ses conclusions en paiement et qui a ainsi la qualité pour recourir ( art. 76 al. 1 LTF ), dirigé contre un arrêt final ( art. 90 LTF ) rendu en matière civile ( art. 72 al. 1 LTF ) par un tribunal supérieur statuant sur recours ( art. 75 LTF ) dans une affaire pécuniaire dont la valeur litigieuse est supérieure à 30'000 fr. ( art. 74 al. 1 let. b LTF ), le recours est par principe recevable, puisqu'il a été déposé dans le délai ( art. 100 al. 1 LTF ) et la forme ( art. 42 LTF ) prévus par la loi.</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2.1</w:t>
      </w:r>
    </w:p>
    <w:p>
      <w:r>
        <w:t>Il n'est pas contesté que les parties ont conclu un contrat d'entreprise totale soumis aux règles du contrat d'entreprise au sens de l' art. 363 CO , comme l'avait jugé le Tribunal fédéral au considérant 4.6 in fine de l'arrêt 4A_471/2010 du 2 décembre 2010. La notion juridique d'entrepreneur total a sa source dans celle d'entrepreneur général. Ce dernier s'engage à l'égard du maître à réaliser la totalité d'un ouvrage ou d'une partie d'ouvrage en prenant la place des différents entrepreneurs partiels qui sont chargés de prestations spécifiques. L'entrepreneur total se charge, en plus des tâches de l'entrepreneur général, de l'établissement des études de projets et des plans ( ATF 114 II 53 consid. 2a et les références; arrêts 4A_653/2015 du 11 juillet 2016 consid. 2; 4A_99/2015 du 21 juillet 2015 consid. 4.1, in Plaidoyer 2015/5 p. 54).</w:t>
      </w:r>
    </w:p>
    <w:p>
      <w:r>
        <w:rPr>
          <w:b/>
        </w:rPr>
        <w:t>E. 2.2</w:t>
      </w:r>
    </w:p>
    <w:p>
      <w:r>
        <w:t>Est litigieuse en l'espèce la question de savoir si le prix de la construction de la villa des intimés (villa B) a été convenu à forfait ( art. 373 CO ), comme l'affirme le recourant, ou d'après la valeur du travail ( art. 374 CO ), mais avec une limite de l'obligation de rémunérer l'entrepreneur total selon le système du pur prix maximal (reiner Höchstpreis) (cf. PETER GAUCH, Der Werkvertrag, 5e éd. 2011, ch. 1036 p. 417 s.), comme l'a retenu la cour cantonale, suivie par les intimés.</w:t>
      </w:r>
    </w:p>
    <w:p>
      <w:r>
        <w:rPr>
          <w:b/>
        </w:rPr>
        <w:t>E. 3.1</w:t>
      </w:r>
    </w:p>
    <w:p>
      <w:r>
        <w:t>A l'appui de son premier moyen, le recourant invoque une violation de l' art. 18 al. 1 CO et du principe de la confiance. A ses yeux, la cour cantonale n'a pas été à même de déterminer la volonté intime et concordante des parties, si bien qu'elle a cherché à juste titre le sens que chacune d'elles devait donner de bonne foi aux déclarations de l'autre. Il affirme que dans cette démarche la Cour de justice a ainsi fait fi de six moyens de preuve présentés en temps utile. Premièrement, il cite le document daté de juin 2004 portant le titre " Détail du prix de vente de la villa B ". Deuxièmement, il se réfère à un contrat de vente immobilière passé entre un tiers et les défendeurs. Troisièmement, il renvoie à l'arrêt 4A_471/2010 précité du Tribunal fédéral. Quatrièmement, il fait référence au contenu d'une plainte déposée par l'intimé n° 1 par devant l'Autorité de surveillance de l'Office des poursuites de Genève. Cinquièmement, il se rapporte aux déclarations de l'intimé n° 1 lors de l'audience de débats d'instruction du 11 avril 2014. Sixièmement, par surabondance de moyens, il évoque un courrier que lui a adressé E.________ SA le 26 février 2007 et un pli recommandé du 9 mars 2007 que le conseil des intimés lui a fait parvenir. Le recourant déduit de ces éléments que la cour cantonale devait retenir d'après le principe de la confiance que le prix de la villa a été fixé de manière forfaitaire pour un montant de 1'360'000 fr.</w:t>
      </w:r>
    </w:p>
    <w:p>
      <w:r>
        <w:rPr>
          <w:b/>
        </w:rPr>
        <w:t>E. 3.2</w:t>
      </w:r>
    </w:p>
    <w:p>
      <w:r>
        <w:t>Au considérant 3.2.1 in fine de l'arrêt attaqué, p. 13, la cour cantonale, sur la base de moyens de preuve qu'elle a mentionnés, a retenu que les parties avaient la commune et réelle volonté de fixer le prix de construction de la villa d'après la dépense effective ( art. 374 CO ), avec la réserve du pur prix maximal évoquée ci-dessus. La cour cantonale ayant été à même d'arrêter la volonté réelle des parties dans le cadre d'une interprétation subjective (cf. ATF 132 III 268 consid. 2.3.2, 626 consid. 3.1 p. 632; 131 III 606 consid. 4.1), le Tribunal fédéral n'a plus à procéder à une interprétation normative au regard de la théorie de la confiance, quoi qu'en dise le recourant. Il peut seulement contrôler que la cour cantonale est parvenue à ce résultat d'une manière qui n'est pas arbitraire, pour autant qu'un tel grief soit invoqué et motivé conformément aux exigences légales (cf., sur la notion d'arbitraire, ATF 140 III 16 consid.2.1 p. 18 s.; 138 III 378 consid. 6.1 p. 379 s.). Or le recourant ne motive aucun grief d'arbitraire répondant au principe d'allégation ( art. 106 al. 2 LTF ). Le recourant confond manifestement le Tribunal fédéral avec une autorité d'appel, auprès de laquelle les faits pourraient être rediscutés librement. La présentation de telles critiques appellatoires est irrecevable.</w:t>
      </w:r>
    </w:p>
    <w:p>
      <w:r>
        <w:rPr>
          <w:b/>
        </w:rPr>
        <w:t>E. 4</w:t>
      </w:r>
    </w:p>
    <w:p>
      <w:r>
        <w:t>Dans son second moyen, le recourant se plaint d'une transgression de l' art. 150 al. 1 CPC . Il prétend qu'en violation de cette norme et de l'obligation d'étayer la contestation des faits, l'autorité cantonale a retenu que les récapitulatifs qu'il a produits ne permettaient pas d'établir les plus-values commandées par les intimés, lesquelles ne figuraient pas dans les documents relatifs à l'estimation du coût des travaux de la villa B remis à ces derniers au moment de la conclusion du contrat d'entreprise totale. Il affirme que le montant des plus-values ressort expressément du décompte final du 30 avril 2007 et que les intimés ont fait le choix de contester en bloc la réalisation de travaux à plus-values, alors qu'ils ont pourtant admis leur existence par la production de deux avis de débit, l'un en faveur de G.________, l'autre en faveur de la société H.________ SA, qui règlent deux factures de régie relatives à de tels travaux. Il en infère que les allégations précitées, contestées sans explication, doivent être considérées comme admises par les intimés.</w:t>
      </w:r>
    </w:p>
    <w:p>
      <w:r>
        <w:rPr>
          <w:b/>
        </w:rPr>
        <w:t>E. 4.1</w:t>
      </w:r>
    </w:p>
    <w:p>
      <w:r>
        <w:t>Dans les procès soumis à la maxime des débats ( art. 55 al. 1 CPC ), la contestation des faits doit intervenir dans la réponse (cf. art. 222 al. 2, 2e phrase, CPC; arrêt 4A_404/2016 du 7 décembre 2016 consid. 2.2) Selon la jurisprudence, les contestations doivent être suffisamment précises pour déterminer quelles sont les allégations du demandeur qui sont contestées. Les contestations doivent être concrètes, afin que la partie adverse sache quelles sont les allégations de fait qu'elle doit prouver ( ATF 141 III 433 consid. 2.6 et les arrêts cités). Plus les différents faits allégués par une partie dans son état de fait général sont détaillés, plus la partie adverse doit expliquer concrètement quels sont les faits précis qu'elle conteste, étant souligné toutefois que les exigences de motivation de la contestation sont moins élevées que celles qui sont posées en matière de motivation de l'allégation des faits ( ATF 141 III 433 ibidem; cf. également FABIENNE HOHL, Procédure civile, Tome I, 2e éd. 2016, ch. 1281 p. 211/212).</w:t>
      </w:r>
    </w:p>
    <w:p>
      <w:r>
        <w:rPr>
          <w:b/>
        </w:rPr>
        <w:t>E. 4.2</w:t>
      </w:r>
    </w:p>
    <w:p>
      <w:r>
        <w:t>In casu, dans sa demande du 20 août 2013, sous les chiffres 20 et 21, l'entrepreneur total a allégué que des plus-values pour un montant de 158'600 fr. furent réalisées en accord avec les parties (20), qu'elles ne lui furent toutefois jamais payées et qu'il dut les prendre à sa charge (21). Pour établir ces allégations, le demandeur a produit un titre ( art. 168 al. 1 let. b CPC ), à savoir un décompte du 30 avril 2007. Dans leur réponse du 2 décembre 2013, les défendeurs ont écrit " contesté " en regard du chiffre de chacune de ces allégations. La pièce produite par le demandeur pour prouver ses allégués cotés 20 et 21 est un décompte final, portant en sous-titre la mention " Avril 2007: (provisoire), Villa B ", qui a été établi par ses soins le 30 avril 2007. Ce document, qui n'est pas signé, donne une liste de plus de 35 " Suppléments H.T. " qui se réfèrent à différents types de travaux. Il n'indique pas quelles sont les entreprises qui ont effectué les travaux en question, ni les dates auxquelles ils ont été réalisés et quand ils ont été facturés à l'architecte, entrepreneur total. Devant l'imprécision tant des deux allégations relatives aux travaux à plus-values prétendument restés impayés que de la preuve fournie à leur appui, on ne pouvait exiger des défendeurs qu'ils donnent le détail des travaux dont ils contestaient la qualification de travaux supplémentaires entraînés par des modifications de commande. Les deux avis de débit auxquels se rapporte le recourant n'y changent rien. Le premier avis de débit concerne un versement opéré en faveur de G.________ en relation avec le bon de paiement n° 43; le second avis de débit a trait à un versement effectué en faveur de H.________ SA afférent au bon de paiement n° 45. Du moment que le prix de l'ouvrage a été convenu entre les parties d'après la valeur du travail ( art. 374 CO ), qu'un contrat d'entreprise totale lie les parties et que le recourant, qui a une formation d'architecte, a sous-traité tous les travaux à différentes entreprises, ces avis de débit ne sont pas concluants pour établir que des travaux supplémentaires ont été commandés par les intimés. Le moyen est infondé.</w:t>
      </w:r>
    </w:p>
    <w:p>
      <w:r>
        <w:rPr>
          <w:b/>
        </w:rPr>
        <w:t>E. 5</w:t>
      </w:r>
    </w:p>
    <w:p>
      <w:r>
        <w:t>En définitive, le recours doit être rejeté dans la mesure de sa recevabilité. Le recourant, qui succombe, paiera l'émolument judiciaire et versera une indemnité à titre de dépens aux intimés, créanciers solidaires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