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632/2012 vom 21. Februar 2013</w:t>
      </w:r>
    </w:p>
    <w:p>
      <w:r>
        <w:t>Bundesgericht, 2013-02-21, FR</w:t>
      </w:r>
    </w:p>
    <w:p>
      <w:r>
        <w:rPr>
          <w:b/>
        </w:rPr>
        <w:t xml:space="preserve">Quelle: </w:t>
      </w:r>
      <w:r>
        <w:t>https://mcp.opencaselaw.ch/entscheid/bger_4A_632_2012</w:t>
      </w:r>
    </w:p>
    <w:p>
      <w:r>
        <w:t>FR: TF 4A 632/2012 du 21 février 2013</w:t>
      </w:r>
    </w:p>
    <w:p>
      <w:r>
        <w:t>IT: TF 4A 632/2012 del 21 febbraio 2013</w:t>
      </w:r>
    </w:p>
    <w:p>
      <w:pPr>
        <w:pStyle w:val="Heading2"/>
      </w:pPr>
      <w:r>
        <w:t>Regeste</w:t>
      </w:r>
    </w:p>
    <w:p>
      <w:r>
        <w:t>responsabilité de l'organe de révision; avis obligatoire de surendettement manifeste | Droit des sociétés</w:t>
      </w:r>
    </w:p>
    <w:p>
      <w:pPr>
        <w:pStyle w:val="Heading2"/>
      </w:pPr>
      <w:r>
        <w:t>Erwägungen</w:t>
      </w:r>
    </w:p>
    <w:p>
      <w:r>
        <w:rPr>
          <w:b/>
        </w:rPr>
        <w:t>E. 1</w:t>
      </w:r>
    </w:p>
    <w:p>
      <w:r>
        <w:t>La masse en faillite d'une société anonyme a intenté action en responsabilité contre l'administrateur et l'organe de révision de la faillie. Les deux défendeurs sont des consorts simples, ce qui signifie qu'une action aurait pu être intentée séparément contre chacun d'eux ( ATF 131 III 667 consid. 1.2). Chacun peut procéder indépendamment de l'autre. Le consort prend de façon indépendante les décisions concernant la conduite du procès (cf. art. 71 al. 3 CPC ; LEUENBERGER/UFFER-TOBLER, Schweizerisches Zivilprozessrecht, 2010, p. 93 n. 3.48). Ce principe vaut également pour la procédure de recours: chaque consort peut recourir séparément et de manière indépendante, étant précisé qu'il peut attaquer uniquement la partie du dispositif qui le concerne (MAX GULDENER, Schweizerisches Zivilprozessrecht, 3e éd. 1979, p. 493; GROSS/ZUBER, in Berner Kommentar, 2012, n° 24 ad art. 71 CPC ). En l'occurrence, un seul des deux consorts, soit l'organe de révision, a recouru contre l'arrêt de renvoi, en concluant au rejet de l'action en responsabilité. L'administrateur codéfendeur à l'action n'a pas recouru, de sorte que la procédure cantonale suit son cours, en ce qui le concerne.</w:t>
      </w:r>
    </w:p>
    <w:p>
      <w:r>
        <w:rPr>
          <w:b/>
        </w:rPr>
        <w:t>E. 2.1</w:t>
      </w:r>
    </w:p>
    <w:p>
      <w:r>
        <w:t>Le recours est dirigé contre une décision qui reconnaît sur le principe une responsabilité de l'administrateur et de l'organe de révision, mais renvoie la cause au juge de première instance pour qu'il instruise les faits pertinents à la détermination du dommage éprouvé par la masse en faillite demanderesse. Une telle décision est de nature incidente (sur cette notion, cf. par ex. ATF 133 III 629 consid. 2.2 p. 631).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p. 631). L' art. 93 al. 1 LTF énonce deux hypothèses où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 Cette exception répond elle-même à un souci d'économie de procédure ( ATF 133 III 629 consid. 2.1 i.f. p. 631). Le prononcé de renvoi ne cause généralement aucun dommage irréparable; la recourante ne soutient pas le contraire. Entre donc en considération la seconde exception.</w:t>
      </w:r>
    </w:p>
    <w:p>
      <w:r>
        <w:rPr>
          <w:b/>
        </w:rPr>
        <w:t>E. 2.2</w:t>
      </w:r>
    </w:p>
    <w:p>
      <w:r>
        <w:t>L' art. 93 al. 1 let. b LTF pose deux conditions cumulatives.</w:t>
      </w:r>
    </w:p>
    <w:p>
      <w:r>
        <w:rPr>
          <w:b/>
        </w:rPr>
        <w:t>E. 2.2.1</w:t>
      </w:r>
    </w:p>
    <w:p>
      <w:r>
        <w:t>Le recours doit permettre de rendre immédiatement une décision finale, c'est-à-dire une décision mettant fin à la procédure (cf. art. 90 LTF ). En d'autres termes, le Tribunal fédéral doit pouvoir clore la procédure dans l'hypothèse où il admettrait le recours et retiendrait la solution inverse à celle retenue par l'autorité précédente ( ATF 133 III 629 consid. 2.4.1). Se pose la question de savoir si cette exigence est aussi respectée lorsque le Tribunal fédéral pourrait rendre une décision partielle au sens de l' art. 91 LTF , c'est-à-dire une décision partiellement finale. Dans une jurisprudence non publiée, un recours a été jugé recevable dans un cas où il permettait de liquider le sort de la demande principale, mais pas celui de la demande reconventionnelle (arrêt 4A_7/2007 du 18 juin 2007 consid. 2.2.1). La question est restée indécise dans une autre affaire, où un seul des deux coresponsables actionnés avait recouru contre une décision renvoyant la cause au juge de première instance pour qu'il poursuive l'instruction (arrêt 4A_103/2012 du 26 juin 2012 consid. 1.3; cf. aussi ATF 122 III 254 consid. 2 sous l'ancienne OJ, dans une affaire similaire où le recours avait été déclaré irrecevable, et les critiques exprimées par OSCAR VOGEL, Die Rechtsprechung des Bundesgerichts zum Zivilprozessrecht im Jahre 1996, RJB 1997 781 s.).</w:t>
      </w:r>
    </w:p>
    <w:p>
      <w:r>
        <w:rPr>
          <w:b/>
        </w:rPr>
        <w:t>E. 2.2.2</w:t>
      </w:r>
    </w:p>
    <w:p>
      <w:r>
        <w:t>La décision finale immédiate doit par ailleurs permettre d'éviter une administration des preuves longue et coûteuse.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2C_111/2011 du 7 juillet 2011 consid. 1.1.3, in SJ 2012 I 97).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4A_23/2008 du 28 mars 2008 consid. 1.3, in SJ 2008 I 389).</w:t>
      </w:r>
    </w:p>
    <w:p>
      <w:r>
        <w:rPr>
          <w:b/>
        </w:rPr>
        <w:t>E. 2.2.3</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Par ailleurs, il incombe à la partie recourante d'indiquer de manière détaillée quelles questions de fait sont encore litigieuses et quelles sont les preuves longues et coûteuses qui devraient être administrées, sauf si ce point découle manifestement de la décision attaquée ou de la nature de la cause ( ATF 133 IV 288 consid. 3.2; 133 III 629 consid. 2.3.1).</w:t>
      </w:r>
    </w:p>
    <w:p>
      <w:r>
        <w:rPr>
          <w:b/>
        </w:rPr>
        <w:t>E. 2.3</w:t>
      </w:r>
    </w:p>
    <w:p>
      <w:r>
        <w:t>En l'occurrence, l'admission du recours permettrait de clore la procédure vis-à-vis de l'organe de révision, mais pas à l'égard de l'administrateur, qui a renoncé à recourir contre le prononcé de renvoi. Le Tribunal fédéral ne pourrait rendre qu'une décision partiellement finale par rapport à la procédure globale visant les deux consorts. La question de savoir si une telle décision doit être assimilée à une décision finale au sens de l' art. 93 al. 1 let. b LTF peut en l'occurrence rester indécise. Il n'est en effet pas démontré que l'autre condition cumulative posée par cette disposition, soit la possibilité d'éviter une procédure probatoire longue et coûteuse, serait réalisée.</w:t>
      </w:r>
    </w:p>
    <w:p>
      <w:r>
        <w:rPr>
          <w:b/>
        </w:rPr>
        <w:t>E. 2.4</w:t>
      </w:r>
    </w:p>
    <w:p>
      <w:r>
        <w:t>La lecture de la décision attaquée fait inférer que l'éventuelle mise hors de cause du consort recourant ne devrait pas modifier fondamentalement le cours de la procédure probatoire qui devra de toute façon être conduite pour les deux parties restant en litige. Les deux consorts sont visés par des conclusions identiques, tendant au paiement du même montant, qui serait dû à titre solidaire. L'arrêt constate que la masse en faillite "a fondé son action sur la responsabilité respective de l'administrateur et de l'organe de révision, et conclu à la réparation du dommage éprouvé parce que l'avis au juge a été formulé tardivement" (arrêt attaqué p. 16 § 2). La cour cantonale expose les principes régissant le calcul du "dommage de poursuite d'exploitation" ("Fortführungsschaden"), c'est-à-dire le dommage causé par un retard à aviser le juge du surendettement de la société. La recourante elle-même admet que son consort doit aussi répondre du défaut d'avis au juge en temps utile, lorsqu'elle souligne qu'il faudra, pour cet organe également, établir la date à laquelle il aurait dû saisir le juge (recours p. 7 ch. 11). Plus généralement, la recourante ne plaide pas que sa mise hors de cause aurait pour effet de raccourcir la procédure probatoire que le Tribunal de première instance devra mener à l'égard de son consort. La lecture de la décision cantonale ne permet pas non plus de tirer une telle conclusion. En bref, il n'est pas démontré que l'éventuelle mise hors de cause de l'organe de révision permettrait une économie de procédure au niveau cantonal. Il n'y a dès lors pas de motif de déroger à la règle selon laquelle le justiciable doit attendre la décision finale pour saisir le Tribunal fédéral. Il s'ensuit l'irrecevabilité du recours.</w:t>
      </w:r>
    </w:p>
    <w:p>
      <w:r>
        <w:rPr>
          <w:b/>
        </w:rPr>
        <w:t>E. 3</w:t>
      </w:r>
    </w:p>
    <w:p>
      <w:r>
        <w:t>La recourante, qui succombe, supportera les frais judiciaires ( art. 66 al. 1 LTF ), d'un montant limité compte tenu de l'irrecevabilité du recours. En revanche, la recourante versera de pleins dépens à la masse en faillite intimée, qui obtient gain de cause ( art. 68 al. 1 et 2 LTF ) et a dû se déterminer sur le fond également. Enfin, il n'y a pas lieu d'allouer de dépens à l'administrateur, qui s'en est remis à justice quant à la recevabilité du recours et ne s'est déterminé que brièvement sur les motifs de son adhésion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