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4A_630/2015 vom 15. Januar 2016</w:t>
      </w:r>
    </w:p>
    <w:p>
      <w:r>
        <w:t>Bundesgericht, 2016-01-15, FR</w:t>
      </w:r>
    </w:p>
    <w:p>
      <w:r>
        <w:rPr>
          <w:b/>
        </w:rPr>
        <w:t xml:space="preserve">Quelle: </w:t>
      </w:r>
      <w:r>
        <w:t>https://mcp.opencaselaw.ch/entscheid/bger_4A_630_2015</w:t>
      </w:r>
    </w:p>
    <w:p>
      <w:r>
        <w:t>FR: TF 4A_630/2015 du 15 janvier 2016</w:t>
      </w:r>
    </w:p>
    <w:p>
      <w:r>
        <w:t>IT: TF 4A_630/2015 del 15 gennaio 2016</w:t>
      </w:r>
    </w:p>
    <w:p>
      <w:pPr>
        <w:pStyle w:val="Heading2"/>
      </w:pPr>
      <w:r>
        <w:t>Erwägungen</w:t>
      </w:r>
    </w:p>
    <w:p>
      <w:r>
        <w:rPr>
          <w:b/>
        </w:rPr>
        <w:t>E. 1</w:t>
      </w:r>
    </w:p>
    <w:p>
      <w:r>
        <w:t>En tant que les conclusions soumises au Tribunal fédéral portent sur une prétention de 1'000 fr. distincte des frais d'hospitalisation, aussi élevée par voie de poursuite contre le demandeur, elles n'ont pas été précédemment articulées devant la Cour de justice; elles sont par conséquent irrecevables au regard de l' art. 99 al. 2 LTF .</w:t>
      </w:r>
    </w:p>
    <w:p>
      <w:r>
        <w:t>Les conditions de recevabilité du recours en matière civile sont par ailleurs satisfaites, notamment à raison de la valeur litigieuse.</w:t>
      </w:r>
    </w:p>
    <w:p>
      <w:r>
        <w:rPr>
          <w:b/>
        </w:rPr>
        <w:t>E. 2</w:t>
      </w:r>
    </w:p>
    <w:p>
      <w:r>
        <w:t>Le recours en matière civile est ouvert pour violation du droit fédéral ( art. 95 let. a LTF ). Le Tribunal fédéral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Le tribunal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w:t>
      </w:r>
    </w:p>
    <w:p>
      <w:r>
        <w:rPr>
          <w:b/>
        </w:rPr>
        <w:t>E. 3</w:t>
      </w:r>
    </w:p>
    <w:p>
      <w:r>
        <w:t>La Cour de justice retient que B.________ a contracté une dette de frais d'hospitalisation au montant de 63'354 fr. 80 envers le défendeur et que le demandeur a repris cette dette conformément à l' art. 176 CO , par l'effet de manifestations de volonté échangées entre lui et le défendeur. En exécution de l'obligation ainsi reprise, le demandeur a dûment payé 6'335 fr. 40 et il reste débiteur du solde.</w:t>
      </w:r>
    </w:p>
    <w:p>
      <w:r>
        <w:rPr>
          <w:b/>
        </w:rPr>
        <w:t>E. 4</w:t>
      </w:r>
    </w:p>
    <w:p>
      <w:r>
        <w:t>A titre principal, le demandeur conteste avoir convenu d'une reprise de dette avec le défendeur.</w:t>
      </w:r>
    </w:p>
    <w:p>
      <w:r>
        <w:t>La dette initiale de B.________ est incontestée. En préparant et en envoyant une reconnaissance de dette à signer par le demandeur, le défendeur a proposé la conclusion d'un accord comportant surtout, en contrepartie de l'engagement demandé, un report de l'exigibilité de la dette. Le demandeur a accepté en signant et en renvoyant le document; dans son mémoire de recours au Tribunal fédéral, il réaffirme qu'il était alors conscient de s'engager personnellement. Les parties ont ainsi échangé des manifestations de volonté expresses, réciproques et concordantes, desquelles résulte la conclusion d'un contrat de reprise de dette selon les art. 1er al. 1 et 176 al. 1 CO.</w:t>
      </w:r>
    </w:p>
    <w:p>
      <w:r>
        <w:t>Le demandeur insiste sur ce que B.________ était d'abord seule débitrice des frais d'hospitalisation, et il revient sur la correspondance qui a précédé la signature de la reconnaissance de dette. Cette correspondance a surtout porté sur le montant et le nombre des tranches successives car le demandeur offrait initialement de payer seulement 150 fr. par mois. La discussion ainsi développée devant le Tribunal fédéral ne met en cause que des éléments dépourvus de pertinence au regard des art. 1er al. 1 et 176 al. 1 CO. Dans la mesure où elle tend à invalider la constatation des faits, elle est irrecevable au regard de la jurisprudence précitée relative à l' art. 97 al. 1 LTF ; pour le surplus, elle est inapte à mettre en évidence une application incorrecte de ces dispositions.</w:t>
      </w:r>
    </w:p>
    <w:p>
      <w:r>
        <w:rPr>
          <w:b/>
        </w:rPr>
        <w:t>E. 5</w:t>
      </w:r>
    </w:p>
    <w:p>
      <w:r>
        <w:t>A titre subsidiaire, le demandeur se prétend exonéré par l'effet de l' art. 29 al. 1 CO pour avoir signé la reconnaissance de dette sous l'influence de la crainte. Il affirme s'être cru, à la suite d'un entretien téléphonique avec un collaborateur de l'établissement défendeur, menacé « d'aller en prison » s'il ne signait pas. Cet entretien et sa teneur ne sont pas constatés par la Cour de justice. De toute manière, dès la fin de la communication téléphonique, le demandeur a eu toute liberté de réfléchir à sa situation et, dans le doute, de se procurer un avis juridique. Une hypothétique menace de « porter l'affaire en justice, notamment au pénal » est inconsistante et elle n'est pas assimilable à un danger grave et imminent aux termes de l' art. 30 al. 1 CO . Dans ces conditions, le demandeur n'est pas autorisé à opposer un vice de sa volonté. Il s'ensuit que le recours en matière civile doit être rejeté, dans la mesure où les conclusions présentées sont recevables.</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