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62/2020 vom 30. September 2020</w:t>
      </w:r>
    </w:p>
    <w:p>
      <w:r>
        <w:t>Bundesgericht, 2020-09-30, FR</w:t>
      </w:r>
    </w:p>
    <w:p>
      <w:r>
        <w:rPr>
          <w:b/>
        </w:rPr>
        <w:t xml:space="preserve">Quelle: </w:t>
      </w:r>
      <w:r>
        <w:t>https://mcp.opencaselaw.ch/entscheid/bger_4A_62_2020</w:t>
      </w:r>
    </w:p>
    <w:p>
      <w:r>
        <w:t>FR: TF 4A 62/2020 du 30 septembre 2020</w:t>
      </w:r>
    </w:p>
    <w:p>
      <w:r>
        <w:t>IT: TF 4A 62/2020 del 30 settembre 2020</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tandis que, dans son recours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Le siège du TAS se trouve à Lausanne. Le recourant n'avait pas son siège en Suisse au moment déterminant. Les dispositions du chapitre 12 de la LDIP sont donc applicables ( art. 176 al. 1 LDIP ).</w:t>
      </w:r>
    </w:p>
    <w:p>
      <w:r>
        <w:rPr>
          <w:b/>
        </w:rPr>
        <w:t>E. 3</w:t>
      </w:r>
    </w:p>
    <w:p>
      <w:r>
        <w:t>Qu'il s'agisse de l'objet du recours, de la qualité pour recourir ou encore du motif de recours invoqué, aucune de ces conditions de recevabilité ne fait problème en l'espèce. En vertu de l' art. 100 al. 1 LTF , le recours contre une décision doit être déposé devant le Tribunal fédéral dans les trente jours qui suivent la notification de l'expédition complète de la décision attaquée. En l'espèce, le recourant s'est vu notifier la sentence originale le 16 décembre 2019, nonobstant les dénégations de l'intimé. En déposant son mémoire par porteur le 31 janvier 2020, il a donc respecté le délai légal dans lequel il devait saisir le Tribunal fédéral, compte tenu des féries ( art. 46 al. 1 let . c LTF). Rien ne s'oppose donc à l'entrée en matière.</w:t>
      </w:r>
    </w:p>
    <w:p>
      <w:r>
        <w:rPr>
          <w:b/>
        </w:rPr>
        <w:t>E. 4</w:t>
      </w:r>
    </w:p>
    <w:p>
      <w:r>
        <w:t>Dans un unique grief, divisé en deux branches, le recourant dénonce une violation de son droit d'être entendu.</w:t>
      </w:r>
    </w:p>
    <w:p>
      <w:r>
        <w:rPr>
          <w:b/>
        </w:rPr>
        <w:t>E. 4.1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 arrêt 4A_478/2017, précité, consid. 3.2.1). C'est le lieu de rappeler que le grief tiré de la violation du droit d'être entendu ne doit pas servir, pour la partie qui se plaint de vices affectant la motivation de la sentence, à provoquer par ce biais un examen de l'application du droit de fond ( ATF 142 III 360 consid. 4.1.2). En Suisse, le droit d'être entendu se rapporte surtout à la constatation des faits. Le droit des parties d'être interpellées sur des questions juridiques n'est reconnu que de manière restreinte. En règle générale, les tribunaux étatiques ou arbitraux apprécient librement la portée juridique des faits et ils peuvent statuer aussi sur la base de règles de droit autres que celles invoquées par les parties. A titre exceptionnel, il convient d'interpeller les parties lorsque le juge ou le tribunal arbitral envisage de fonder sa décision sur une norme ou une considération juridique qui n'a pas été évoquée au cours de la procédure et dont les parties ne pouvaient pas supputer la pertinence ( ATF 130 III 35 consid. 5 et les références). Au demeurant, savoir ce qui est imprévisible est une question d'appréciation. Aussi le Tribunal fédéral se montre-t-il restrictif dans l'application de ladite règle pour ce motif et parce qu'il convient d'avoir égard aux particularités de ce type de procédure en évitant que l'argument de la surprise ne soit utilisé en vue d'obtenir un examen matériel de la sentence par l'autorité de recours (arrêt 4A_716/2016 du 26 janvier 2017 consid. 3.1). Il le rappelle régulièrement, en refusant d'étendre cette jurisprudence à l'établissement des faits (arrêt 4A_525/2017 du 9 août 2018 consid. 3.1 et les arrêts cités).</w:t>
      </w:r>
    </w:p>
    <w:p>
      <w:r>
        <w:rPr>
          <w:b/>
        </w:rPr>
        <w:t>E. 4.2</w:t>
      </w:r>
    </w:p>
    <w:p>
      <w:r>
        <w:t>Dans la première branche du moyen considéré, le recourant reproche au TAS de n'avoir pas examiné son argument selon lequel le paiement de la prime à la signature n'était dû que si le joueur venait à être définitivement transféré, ce qui n'a pas été le cas. Selon l'intéressé, la Formation aurait omis de tenir compte du texte clair de l'art. 2 du Supplementary Agreement prévoyant que le versement de la première tranche de la prime devait intervenir dans les trente jours suivant le transfert (" 30 business days after the transfer "). Semblable argumentation tombe à faux. On relèvera d'emblée, avec l'intimé, que la manière dont le recourant formule sa critique laisse fortement à désirer du point de vue des exigences de motivation d'un recours en matière civile dirigé contre une sentence arbitrale internationale et que, sous couvert d'une prétendue violation du droit d'être entendu, le recourant cherche en réalité à provoquer un examen de l'application du droit de fond et à remettre en cause l'interprétation d'une clause contractuelle. Or, il sied de préciser qu'en matière d'arbitrage international le processus d'interprétation d'un contrat et les conséquences juridiques qui en sont logiquement tirées sont exclues du champ de protection du principe pacta sunt servanda et ne sauraient ainsi faire l'objet d'un contrôle du Tribunal fédéral sous l'angle du grief tiré de la violation de l'ordre public (arrêt 4A_318/2017 du 28 août 2017 consid. 4.2). Aussi le recourant tente-t-il d'obtenir par la bande un contrôle de l'interprétation du contrat opérée par le TAS, ce qui n'est pas admissible. Cela étant, contrairement à ce que soutient le recourant, la Formation a bel et bien tenu compte de l'argument littéral soulevé par l'intéressé et du texte de l'art. 2 du Supplementary Agreement . Dans la sentence attaquée, les arbitres relèvent en effet que, dans la mesure où les parties sont divisées sur le sens de l'art. 2 du Supplementary Agreement , il y a lieu d'interpréter cette disposition à la lumière de l'ensemble des circonstances. Ils estiment que les termes dudit article laissent peu de place à l'interprétation préconisée par le recourant (sentence, n. 75). Après avoir cité in extenso le texte de l'art. 2 du Supplementary Agreement et rappelé que, de l'avis du recourant, le paiement de la prime à la signature était conditionné au transfert définitif de l'intimé, le TAS considère que cette thèse n'est pas compatible avec les termes du Supplementary Agreement , lequel ne prévoit pas une telle condition. La Formation estime ainsi que le recourant n'a pas démontré que le paiement de la prime à la signature était soumis à une condition. L'interprétation du contrat de travail et du Supplementary Agreement ne permettent pas davantage d'aboutir à une telle conclusion. Sur le vu de ce qui précède, il est clair que le TAS a examiné le texte de l'art. 2 du Supplementary Agreement ainsi que l'argument soulevé par le recourant, ce qui suffit à sceller le sort du grief examiné.</w:t>
      </w:r>
    </w:p>
    <w:p>
      <w:r>
        <w:rPr>
          <w:b/>
        </w:rPr>
        <w:t>E. 4.3</w:t>
      </w:r>
    </w:p>
    <w:p>
      <w:r>
        <w:t>Dans la seconde branche du moyen considéré, le recourant fait grief au TAS d'avoir retenu que le contrat de travail et le Supplementary Agreement avaient très vraisemblablement été rédigés par le club et qu'ils devaient dès lors être interprétés en défaveur de celui-ci. En fondant sa décision sur un élément que les parties n'avaient pas évoqué et sur lequel celles-ci n'avaient pas eu l'occasion de s'exprimer, la Formation aurait ainsi violé le droit d'être entendu du recourant. Tel qu'il est présenté, le grief ne saurait prospérer. Comme l'expose de façon convaincante l'intimé, l'argumentation du TAS relativement à l'identité du rédacteur des contrats n'est qu'un élément, parmi d'autres, ayant amené la Formation à écarter la thèse d'un paiement conditionnel avancée par le recourant. Ceci est du reste confirmé par le terme " Additionally " figurant dans la sentence attaquée (sentence, n. 81). Aussi n'est-il pas possible de suivre le recourant lorsqu'il affirme que cet élément représente " la prémisse " sur laquelle la Formation fonde toute son interprétation du contrat. Au demeurant, la Cour de céans ne discerne pas quelle influence la violation du droit d'être entendu alléguée par le recourant a pu avoir sur le sort du litige. Il ressort en effet de la sentence attaquée que le recourant a expressément admis devoir payer la prime à la signature lors de la procédure conduite par la CRL (sentence, n. 88). Aussi la réelle et commune intention des parties concernant l'obligation inconditionnelle de payer une prime à la signature ne fait-elle guère de doute, nonobstant la volte-face surprenante effectuée, a posteriori, par le recourant. Dans ces conditions, l'argumentation développée par l'intéressé en lien avec le principe in dubio contra proferentem est dénuée de pertinence, dès lors que ledit principe ne s'applique pas s'il y a réelle et commune intention des parties. Il suit de là que le moyen pris de la violation du droit d'être entendu du recourant ne peut qu'être écarté, ce qui conduit au rejet du présent recours.</w:t>
      </w:r>
    </w:p>
    <w:p>
      <w:r>
        <w:rPr>
          <w:b/>
        </w:rPr>
        <w:t>E. 5</w:t>
      </w:r>
    </w:p>
    <w:p>
      <w:r>
        <w:t>Le recourant, qui succombe, prendra à sa charge les frais de la procédure fédérale ( art. 66 al. 1 LTF ) et versera en outre à l'intimé une indemnité à titre de dépens ( art. 68 al. 1 et 2 LTF ). L'indemnité allouée à cette partie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