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4A_628/2024 vom 29. November 2024</w:t>
      </w:r>
    </w:p>
    <w:p>
      <w:r>
        <w:t>Bundesgericht, 2024-11-29, DE</w:t>
      </w:r>
    </w:p>
    <w:p>
      <w:r>
        <w:rPr>
          <w:b/>
        </w:rPr>
        <w:t xml:space="preserve">Quelle: </w:t>
      </w:r>
      <w:r>
        <w:t>https://mcp.opencaselaw.ch/entscheid/bger_4A_628_2024</w:t>
      </w:r>
    </w:p>
    <w:p>
      <w:r>
        <w:t>FR: TF 4A_628/2024 du 29 novembre 2024</w:t>
      </w:r>
    </w:p>
    <w:p>
      <w:r>
        <w:t>IT: TF 4A_628/2024 del 29 novembre 2024</w:t>
      </w:r>
    </w:p>
    <w:p>
      <w:pPr>
        <w:pStyle w:val="Heading2"/>
      </w:pPr>
      <w:r>
        <w:t>Erwägungen</w:t>
      </w:r>
    </w:p>
    <w:p>
      <w:r>
        <w:rPr>
          <w:b/>
        </w:rPr>
        <w:t>E. 1</w:t>
      </w:r>
    </w:p>
    <w:p>
      <w:r>
        <w:t>Mit Entscheid vom 13. Juni 2024 verpflichtete das Mietgericht des Bezirks Hinwil den Beschwerdeführer, das möblierte Zimmer Nr. 1 im 1. OG im Einfamilienhaus an der U.________strasse in V.________ der Beschwerdegegnerin umgehend in ordnungsgemässem Zustand zu übergeben, unter der Androhung der Zwangsvollstreckung im Unterlassungsfall.</w:t>
      </w:r>
    </w:p>
    <w:p>
      <w:r>
        <w:t>Mit Beschluss vom 23. Oktober 2024 trat das Obergericht des Kantons Zürich auf eine vom Beschwerdeführer gegen den mietgerichtlichen Entscheid vom 13. Juni 2024 erhobene Berufung infolge unzureichender Begründung des Rechtsmittels nicht ein.</w:t>
      </w:r>
    </w:p>
    <w:p>
      <w:r>
        <w:t>Mit Eingabe vom 23. November 2024 erklärte der Beschwerdeführer dem Bundesgericht, den Beschluss des Obergerichts des Kantons Zürich vom 23. Oktober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23. November 2024 nicht hinreichend mit den Erwägungen des angefochtenen Entscheids des Obergerichts des Kantons Zürich vom 23. Oktober 2024 auseinander und zeigt nicht rechtsgenügend auf, inwiefern die Vorinstanz mit ihrem Nichteintretensentscheid Bundesrecht verletzt hätte. Vielmehr unterbreitet er dem Bundesgericht in unzulässiger Weise seine eigene Sicht der Dinge.</w:t>
      </w:r>
    </w:p>
    <w:p>
      <w:r>
        <w:t>Auf die Beschwerde ist somit im vereinfachten Verfahren nach Art. 108 Abs. 1 lit. b BGG nicht einzutreten.</w:t>
      </w:r>
    </w:p>
    <w:p>
      <w:r>
        <w:rPr>
          <w:b/>
        </w:rPr>
        <w:t>E. 3</w:t>
      </w:r>
    </w:p>
    <w:p>
      <w:r>
        <w:t>Unter den gegebenen Umständen ist ausnahmsweise auf die Erhebung von Gerichtskosten zu verzichten (Art. 66 Abs. 1 zweiter Satz BGG).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