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4A_628/2009 vom 17. Februar 2010</w:t>
      </w:r>
    </w:p>
    <w:p>
      <w:r>
        <w:t>Bundesgericht, 2010-02-17, FR</w:t>
      </w:r>
    </w:p>
    <w:p>
      <w:r>
        <w:rPr>
          <w:b/>
        </w:rPr>
        <w:t xml:space="preserve">Quelle: </w:t>
      </w:r>
      <w:r>
        <w:t>https://mcp.opencaselaw.ch/entscheid/bger_4A_628_2009</w:t>
      </w:r>
    </w:p>
    <w:p>
      <w:r>
        <w:t>FR: TF 4A_628/2009 du 17 février 2010</w:t>
      </w:r>
    </w:p>
    <w:p>
      <w:r>
        <w:t>IT: TF 4A_628/2009 del 17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n° 7 du 8 décembre 2008, la Commission d'appel de Y.________, entité publique roumaine spécialisée dans la lutte antidopage, a confirmé la décision du 3 octobre 2008 par laquelle la Commission des sanctions de Y.________ avait condamné X.________, athlète roumaine de niveau international, à une suspension de deux ans dès le 29 mai 2008 pour violation des règles antidopage.</w:t>
      </w:r>
    </w:p>
    <w:p>
      <w:r>
        <w:t>Saisi d'un appel de X.________, le Tribunal Arbitral du Sport (TAS) l'a rejeté par sentence du 9 octobre 2009.</w:t>
      </w:r>
    </w:p>
    <w:p>
      <w:r>
        <w:t>Le 18 novembre 2009, X.________ a formé un recours en matière civile auprès du Tribunal fédéral contre cette sentence, concluant implicitement à l'annulation de celle-ci.</w:t>
      </w:r>
    </w:p>
    <w:p>
      <w:r>
        <w:t>L'intimée et le TAS n'ont pas été invités à déposer une réponse.</w:t>
      </w:r>
    </w:p>
    <w:p>
      <w:r>
        <w:rPr>
          <w:b/>
        </w:rPr>
        <w:t>E. 2</w:t>
      </w:r>
    </w:p>
    <w:p>
      <w:r>
        <w:t>La recourante a reçu une expédition complète de la sentence par télécopie du 13 octobre 2009. Elle a déposé son recours plus de 30 jours après la notification de cette expédition. Ledit recours serait dès lors irrecevable, faute d'avoir été déposé dans le délai, non prolongeable, fixé à l' art. 100 al. 1 LTF , à supposer que la communication par fax ait suffi à faire courir ce délai (dans ce sens, KAUFMANN-KOHLER/RIGOZZI, Arbitrage international, 2006, n° 733, lesquels auteurs citent toutefois un précédent - l'arrêt 4P.88/2006 du 10 juillet 2006 consid. 2.3 - qui ne tranche pas la question). Il n'est cependant pas nécessaire d'examiner plus avant ce problème, car le présent recours est de toute façon irrecevable pour une autre raison.</w:t>
      </w:r>
    </w:p>
    <w:p>
      <w:r>
        <w:rPr>
          <w:b/>
        </w:rPr>
        <w:t>E. 3</w:t>
      </w:r>
    </w:p>
    <w:p>
      <w:r>
        <w:t>Le recours ne peut être formé que pour l'un des motifs énumérés de manière exhaustive à l' art. 190 al. 2 LDIP ( ATF 128 III 50 consid. 1a p. 53; 127 III 279 consid. 1a p. 282; 119 II 380 consid. 3c p. 383). Le Tribunal fédéral examine uniquement les griefs qui ont été invoqués et motivés par le recourant ( art. 77 al. 3 LTF ).</w:t>
      </w:r>
    </w:p>
    <w:p>
      <w:r>
        <w:t>En l'espèce, la recourante n'invoque aucun des motifs énoncés à l' art. 190 al. 2 LDIP . Elle se contente de remettre en cause les faits établis par le TAS, ce qui n'est pas admissible en vertu de l' art. 105 al. 1 LTF .</w:t>
      </w:r>
    </w:p>
    <w:p>
      <w:r>
        <w:t>Cela étant, il sera fait application de la procédure simplifiée, conformément à l' art. 108 al. 1 LTF .</w:t>
      </w:r>
    </w:p>
    <w:p>
      <w:r>
        <w:rPr>
          <w:b/>
        </w:rPr>
        <w:t>E. 4</w:t>
      </w:r>
    </w:p>
    <w:p>
      <w:r>
        <w:t>Etant donné les circonstances, il y a lieu de renoncer à la perception de frais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