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4A_627/2020 vom 24. August 2021</w:t>
      </w:r>
    </w:p>
    <w:p>
      <w:r>
        <w:t>Bundesgericht, 2021-08-24, FR</w:t>
      </w:r>
    </w:p>
    <w:p>
      <w:r>
        <w:rPr>
          <w:b/>
        </w:rPr>
        <w:t xml:space="preserve">Quelle: </w:t>
      </w:r>
      <w:r>
        <w:t>https://mcp.opencaselaw.ch/entscheid/bger_4A_627_2020</w:t>
      </w:r>
    </w:p>
    <w:p>
      <w:r>
        <w:t>FR: TF 4A_627/2020 du 24 août 2021</w:t>
      </w:r>
    </w:p>
    <w:p>
      <w:r>
        <w:t>IT: TF 4A_627/2020 del 24 agosto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5.3; 129 I 8 consid. 2.1).</w:t>
      </w:r>
    </w:p>
    <w:p>
      <w:r>
        <w:rPr>
          <w:b/>
        </w:rPr>
        <w:t>E. 3</w:t>
      </w:r>
    </w:p>
    <w:p>
      <w:r>
        <w:t>Il est constant que les parties sont liées par un contrat de vente ( art. 184 al. 1 CO ) portant sur un immeuble ( art. 216 ss CO ), dans lequel elles ont prévu une clause d'exclusion de garantie.</w:t>
      </w:r>
    </w:p>
    <w:p>
      <w:r>
        <w:t>Dans son appel, le recourant n'avait émis aucun grief quant au montant de 2'000 fr. obtenu au titre des frais de réfection de la charpente du couvert à voitures. A ce stade, le litige ne porte donc plus que sur deux éléments que l'acquéreur tient pour défectueux et pour lesquels il réclame une moins-value ( art. 205 al. 1 CO ), à savoir la toiture de la villa ainsi que la piscine.</w:t>
      </w:r>
    </w:p>
    <w:p>
      <w:r>
        <w:rPr>
          <w:b/>
        </w:rPr>
        <w:t>E. 4.1</w:t>
      </w:r>
    </w:p>
    <w:p>
      <w:r>
        <w:t>La garantie pour les défauts de la chose mobilière vendue est traitée aux art. 197 ss CO , dispositions qui s'appliquent par analogie à la vente immobilière ( art. 221 CO ) ( ATF 131 III 145 consid. 3). Selon l' art. 197 CO ,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Il y a défaut au sens de l' art. 197 CO lorsque la chose livrée s'écarte de ce qu'elle devrait être en vertu du contrat de vente, parce qu'elle est dépourvue d'une qualité dont le vendeur avait promis l'existence ou d'une qualité à laquelle l'acheteur pouvait s'attendre selon les règles de la bonne foi ( ATF 114 II 239 consid. 5a/aa). La responsabilité du vendeur est moins stricte pour les qualités attendues que pour les qualités promises, puisque, dans le premier cas, le vice doit entraîner (au moins) une diminution notable de l'utilité prévue ou de la valeur (objective) de la chose (VENTURI/ZEN-RUFFINEN, in Commentaire romand, Code des obligations I, 3e éd. 2021, nos 7, 17 et 18 ad art. 197 CO ; TERCIER/BIERI/CARRON, Les contrats spéciaux, 5e éd. 2016, nos 687 et 693 p. 98/99). Le niveau d'exigence quant à la qualité attendue dépend du contenu du contrat, des règles de la bonne foi et des autres circonstances du cas concret. De manière générale, la perte de valeur ou d'utilité est notable lorsque l'acheteur n'aurait pas conclu le contrat ou l'aurait conclu à des conditions différentes s'il avait connu le vice (VENTURI/ZEN-RUFFINEN, op. cit., nos 17 et 20 ad art. 197 CO ; ERICH RÜEGG, in Der Grundstückkauf, Alfred Koller éd., 3e éd. 2017, n° 76 p. 193/194; TERCIER/BIERI/CARRON, op. cit., n° 691 p. 99; HANS GIGER, Berner Kommentar, 1979, n° 68 ad art. 197 CO ).</w:t>
      </w:r>
    </w:p>
    <w:p>
      <w:r>
        <w:t>La responsabilité du vendeur n'est pas engagée lorsque l'acheteur connaissait le défaut ou aurait pu et dû le connaître. Il appartient au vendeur de prouver que cette hypothèse est réalisée ( art. 200 CO ; (HEINRICH HONSELL, in Basler Kommentar, Obligationenrecht I, 7e éd. 2020, n° 6 ad art. 200 CO ; TERCIER/BIERI/CARRON, op. cit., n° 695 p. 99). Dans la mesure où l'acheteur connaît le vice - ou devrait le connaître - et accepte sans réserve la chose, il n'y a pas de défaut, puisque la chose livrée correspond alors à ce que l'acheteur pouvait attendre conformément au contrat (VENTURI/ZEN-RUFFINEN, op. cit., n° 1 ad art. 200 CO ; TERCIER/BIERI/CARRON, op. cit., n° 695 p. 99). L' art. 200 al. 2 CO présume la connaissance du défaut lorsqu'il est reconnaissable pour une personne faisant preuve de l'attention commandée par les circonstances; il s'agit d'un cas d'application de l' art. 3 al. 2 CC (VENTURI/ZEN-RUFFINEN, op. cit., n° 6 ad art. 200 CO ). L' art. 200 al. 2 CO réserve le cas où le vendeur a affirmé à l'acheteur que le défaut n'existait pas.</w:t>
      </w:r>
    </w:p>
    <w:p>
      <w:r>
        <w:rPr>
          <w:b/>
        </w:rPr>
        <w:t>E. 4.2</w:t>
      </w:r>
    </w:p>
    <w:p>
      <w:r>
        <w:t>Les parties peuvent convenir de supprimer ou restreindre la garantie pour les défauts. Cependant, une telle clause est nulle si le vendeur a frauduleusement dissimulé à l'acheteur les défauts de la chose ( art. 199 CO ).</w:t>
      </w:r>
    </w:p>
    <w:p>
      <w:r>
        <w:t>La "dissimulation frauduleuse" au sens de cette disposition couvre des comportements de dol, de tromperie intentionnelle (arrêts 4A_619/2013 du 20 mai 2014 consid. 4.1, in RNRF 2017 118; 4A_301/2010 du 7 septembre 2010 consid. 3.2, in SJ 2011 I 17; cf. ATF 81 II 138 consid. 3).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(FRANCO PEDRAZZINI, La dissimulation des défauts dans les contrats de vente et d'entreprise, 1992, n° 438 p. 86) ou lorsqu'il s'agit d'un défaut (notamment caché) auquel l'acheteur ne peut de bonne foi pas s'attendre, et qui revêt de l'importance pour celui-ci (cf. ATF 131 III 145 consid. 8.1; 66 II 132 consid. 6; PEDRAZZINI, op. cit., n° 438 p. 86; GIGER, op. cit., nos 42 et 44 ad art. 199 CO ). Ceci présuppose que le vendeur ait une connaissance effective du défaut; l'ignorance due à une négligence même grave ne suffit pas (arrêts 4A_619/2013 précité consid. 4.1;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 ATF 66 II 132 consid. 6). Le vendeur est dispensé d'informer l'acheteur lorsqu'il peut de bonne foi partir du principe que l'acheteur va s'informer lui-même, qu'il va découvrir le défaut sans autre, sans difficultés (arrêts 4A_619/2013 précité consid. 4.1; 4A_70/2011 du 12 avril 2011 consid. 4.1, in RNRF 2012 300; 4C.16/2005 du 13 juillet 2005 consid. 2.1, in RNRF 2007 281; GIGER. op. cit., n° 43 ad art. 199 CO ). La dissimulation doit être intentionnelle; le dol éventuel suffit (arrêts précités 4A_619/2013 consid. 4.1; 4A_301/2010 consid. 3.2).</w:t>
      </w:r>
    </w:p>
    <w:p>
      <w:r>
        <w:rPr>
          <w:b/>
        </w:rPr>
        <w:t>E. 4.3</w:t>
      </w:r>
    </w:p>
    <w:p>
      <w:r>
        <w:t>Savoir dans quelles circonstances se sont déroulés les pourparlers, respectivement la conclusion du contrat, et s'il y a eu une quelconque manoeuvre frauduleuse de la part d'une partie relève des constatations de fait (cf. arrêt 4A_217/2009 du 3 novembre 2009 consid. 2.4).</w:t>
      </w:r>
    </w:p>
    <w:p>
      <w:r>
        <w:rPr>
          <w:b/>
        </w:rPr>
        <w:t>E. 5.1</w:t>
      </w:r>
    </w:p>
    <w:p>
      <w:r>
        <w:t>S'agissant de la toiture de la villa, les juges cantonaux ont écarté les prétentions de l'acquéreur au terme du raisonnement suivant.</w:t>
      </w:r>
    </w:p>
    <w:p>
      <w:r>
        <w:t>La toiture a présenté des fuites durant l'hiver 2014/2015, soit moins d'une année après la vente de la villa litigieuse. Elle avait fait l'objet de travaux de rénovation exécutés par le vendeur en 2013, travaux qui, par certains aspects, n'étaient pas conformes aux règles de l'art et étaient à l'origine des infiltrations constatées. Elle est dès lors grevée de défauts. L'expertise ordonnée par le tribunal a permis de vérifier que ces défauts n'étaient pas décelables par un non-spécialiste au moment de la vente.</w:t>
      </w:r>
    </w:p>
    <w:p>
      <w:r>
        <w:t>Compte tenu de la clause d'exclusion de garantie figurant dans le contrat de vente, il s'agissait dès lors de savoir si le vendeur en avait frauduleusement dissimulé l'existence à l'acquéreur ( art. 199 CO ). A cet égard, rien ne permettait d'affirmer que le vendeur ait eu conscience du caractère non conforme ou non durable des travaux qu'il avait réalisés sur la toiture, ni qu'il ait à dessein effectué des travaux défectueux. La bonne foi en affaires lui imposait seulement de révéler à l'acquéreur que des travaux avaient été réalisés récemment sur la toiture et que ceux-ci n'étaient pas l'ouvrage de professionnels, ce qu'il a précisément fait en indiquant à l'acquéreur qu'il avait effectué lui-même ces travaux. Partant, les travaux de toiture dénoncés par l'acquéreur tombaient sous le coup de l'exclusion de garantie convenue contractuellement.</w:t>
      </w:r>
    </w:p>
    <w:p>
      <w:r>
        <w:rPr>
          <w:b/>
        </w:rPr>
        <w:t>E. 5.2</w:t>
      </w:r>
    </w:p>
    <w:p>
      <w:r>
        <w:t>Le recourant soutient que le vendeur, respectivement la courtière mandatée par celui-ci, lui ont certifié, avant la signature de l'acte de vente, que la toiture de la villa avait été "refaite à neuf"; en d'autres termes, que la toiture était neuve, et non seulement refaite. La cour cantonale aurait versé dans l'arbitraire en ne le constatant pas.</w:t>
      </w:r>
    </w:p>
    <w:p>
      <w:r>
        <w:t>L'autorité précédente a retenu en fait que le vendeur (et/ou pour lui son courtier immobilier) avait indiqué à l'acquéreur qu'il avait personnellement effectué les travaux de réfection des toitures de la villa et du couvert, et non pas que la toiture de la maison était neuve. Pour sa part, la courtière avait indiqué, lors de son audition comme témoin, avoir confirmé à l'acquéreur que "la toiture de la villa à... avait été refaite". Certes, à la même occasion, elle avait répondu comme suit à une question posée par le conseil de l'acquéreur: "La piscine et la toiture ne devaient pas être rénovées. La toiture était neuve. (...) " Cela étant, il ne s'agit pas là de propos qu'elle aurait tenus à l'acquéreur. Comme la cour cantonale l'a observé, la courtière a simplement exprimé sa propre connaissance de l'état de la toiture. Par ailleurs, ce qui aurait été indiqué par le vendeur à d'autres propriétaires n'est pas déterminant. Il n'y a dès lors nul arbitraire logé derrière les constatations de la cour cantonale.</w:t>
      </w:r>
    </w:p>
    <w:p>
      <w:r>
        <w:t>Ceci étant posé, il n'est pas possible de suivre le recourant lorsqu'il assimile l'information qu'il prétend avoir reçue (selon laquelle la toiture aurait été neuve) à une assurance expresse qui ne serait pas affectée par la clause d'exclusion de garantie, en s'en référant à la jurisprudence de la cour de céans ( ATF 109 II 24 consid. 4; cf. également arrêts 4A_353/2014 du 19 novembre 2014 consid. 1.3.1; 4A_514/2020 du 2 novembre 2020 consid. 6.2.2). Le grief de violation de l' art. 199 CO s'épuisant dans cette logique, il ne peut qu'être rejeté, tout comme le moyen voulant que l'admission des conclusions relatives au couvert à voitures dicte celle des conclusions relatives à la toiture de la villa et à la piscine.</w:t>
      </w:r>
    </w:p>
    <w:p>
      <w:r>
        <w:rPr>
          <w:b/>
        </w:rPr>
        <w:t>E. 6.1</w:t>
      </w:r>
    </w:p>
    <w:p>
      <w:r>
        <w:t>En ce qui concerne la piscine, les juges cantonaux ont jugé que l'acquéreur n'a pas démontré qu'elle n'était pas en état de fonctionnement au moment de la vente, moyennant remplacement d'une pompe. Le défaut prétendu n'était dès lors pas avéré.</w:t>
      </w:r>
    </w:p>
    <w:p>
      <w:r>
        <w:t>Selon l'autorité précédente, l'expertise a certes mis en lumière que la piscine et ses installations étaient vétustes, présentaient des traces d'usure et ne correspondaient plus aux standards de construction actuels; notamment, la liaison entre les bords du bassin et la dalle en terrasse n'était pas bonne et était susceptible de donner lieu à des infiltrations d'eau dans le local technique. L'expert a précisé toutefois que seule une remise en eau de la piscine - à laquelle le recourant n'avait jamais procédé - permettrait d'établir un éventuel défaut d'étanchéité de son bassin et des scellements des éléments incorporés. A défaut, le bon fonctionnement de la piscine et de ses installations techniques ne pouvait être vérifié. Sous réserve du remplacement de certaines pièces telles qu'une pompe, il ne peut donc être affirmé que, lors de l'achat de la villa, la piscine n'était pas en état d'être mise en eau et utilisée. Il n'est par ailleurs pas établi que des fuites auraient été constatées lorsque, postérieurement à la vente, une entreprise a rempli la piscine d'une cinquantaine de centimètres d'eau, à la demande d'un voisin du recourant. S'agissant des déclarations du vendeur, celui-ci a uniquement indiqué au recourant que la piscine, qui n'était pas en eau lors de la vente, avait été utilisée pour la dernière fois en été 2013 et que sa remise en fonction ne nécessitait que le remplacement d'une pompe pour le prix d'environ 300 fr. Or, le caractère inexact de ces affirmations n'est pas vérifié. Quant aux éventuelles imperfections et défectuosités de la piscine découlant de sa vétusté, que l'intimé n'a pas cachée au recourant, elles tombent sous le coup de l'exclusion de la garantie convenue contractuellement.</w:t>
      </w:r>
    </w:p>
    <w:p>
      <w:r>
        <w:rPr>
          <w:b/>
        </w:rPr>
        <w:t>E. 6.2</w:t>
      </w:r>
    </w:p>
    <w:p>
      <w:r>
        <w:t>Le recourant est d'avis que la cour cantonale a derechef versé dans l'arbitraire. Si l'on suit bien ses explications, l'autorité précédente aurait constaté que "lors de sa visite ayant précédé la vente de la villa, (il) aurait de lui-même pu constater que la machinerie de la piscine n'était plus opérationnelle". En réalité, l'arrêt attaqué relève que "lors des visites de la villa B par (l'acquéreur), la piscine n'était pas en eau et sa machinerie, d'origine, n'était plus opérationnelle". Ceci n'est pas antinomique avec la constatation selon laquelle le vendeur lui a "indiqué que sa remise en service ne nécessiterait que le remplacement d'une pompe, pour le prix de 300 fr.", contrairement à ce que le recourant soutient. Plus loin dans son recours, il discerne un arbitraire dans le constat selon lequel "la machinerie d'origine n'était plus opérationnelle" lors des visites de la villa B. Mais il ne conteste pas que le vendeur lui a indiqué que "sa remise en service ne nécessiterait que le remplacement d'une pompe, pour le prix de 300 fr. " Or, ceci présuppose nécessairement que la machinerie n'était pas opérationnelle.</w:t>
      </w:r>
    </w:p>
    <w:p>
      <w:r>
        <w:t>Le recourant cite encore le rapport d'expertise judiciaire pour démontrer que le remplacement de la pompe n'eût pas suffi à une remise en service. Cela étant, le rapport n'est pas suffisamment affirmatif pour que l'on puisse conclure que la cour cantonale a versé dans l'arbitraire: l'expert se montre certes critique par rapport aux installations techniques, sans toutefois aller jusqu'à affirmer que la machinerie - toute "bricolée" qu'elle soit - ne fonctionnerait pas moyennant le remplacement de la pompe en question et qu'une remise en route se heurterait à un échec. Le grief ne peut dès lors qu'être rejeté.</w:t>
      </w:r>
    </w:p>
    <w:p>
      <w:r>
        <w:t>Le raisonnement de la cour cantonale pouvait légitimement s'arrêter là. Ce n'est en effet qu'en présence d'un défaut au sens décrit plus haut (consid. 4.1) que le vendeur peut être tenu à garantie.</w:t>
      </w:r>
    </w:p>
    <w:p>
      <w:r>
        <w:t>Le recourant soutient entre les lignes que le vendeur lui aurait affirmé, par l'intermédiaire de sa courtière, que la piscine était "en ordre". Rien de tel ne ressort toutefois de l'arrêt cantonal ni de l'audition de la courtière en question. Nulle violation de l' art. 199 CO ne se conçoit donc sur le fondement de garanties qui n'ont pas été données à l'acheteur.</w:t>
      </w:r>
    </w:p>
    <w:p>
      <w:r>
        <w:rPr>
          <w:b/>
        </w:rPr>
        <w:t>E. 7</w:t>
      </w:r>
    </w:p>
    <w:p>
      <w:r>
        <w:t>Sur le vu de ce qui précède, le recours doit être rejeté.</w:t>
      </w:r>
    </w:p>
    <w:p>
      <w:r>
        <w:t>Le recourant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