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626/2017 vom 14. August 2018</w:t>
      </w:r>
    </w:p>
    <w:p>
      <w:r>
        <w:t>Bundesgericht, 2018-08-14, DE</w:t>
      </w:r>
    </w:p>
    <w:p>
      <w:r>
        <w:rPr>
          <w:b/>
        </w:rPr>
        <w:t xml:space="preserve">Quelle: </w:t>
      </w:r>
      <w:r>
        <w:t>https://mcp.opencaselaw.ch/entscheid/bger_4A_626_2017</w:t>
      </w:r>
    </w:p>
    <w:p>
      <w:r>
        <w:t>FR: TF 4A 626/2017 du 14 août 2018</w:t>
      </w:r>
    </w:p>
    <w:p>
      <w:r>
        <w:t>IT: TF 4A 626/2017 del 14 agosto 2018</w:t>
      </w:r>
    </w:p>
    <w:p>
      <w:pPr>
        <w:pStyle w:val="Heading2"/>
      </w:pPr>
      <w:r>
        <w:t>Regeste</w:t>
      </w:r>
    </w:p>
    <w:p>
      <w:r>
        <w:t>Forderung | Vertragsrecht</w:t>
      </w:r>
    </w:p>
    <w:p>
      <w:pPr>
        <w:pStyle w:val="Heading2"/>
      </w:pPr>
      <w:r>
        <w:t>Erwägungen</w:t>
      </w:r>
    </w:p>
    <w:p>
      <w:r>
        <w:rPr>
          <w:b/>
        </w:rPr>
        <w:t>E. 1.1</w:t>
      </w:r>
    </w:p>
    <w:p>
      <w:r>
        <w:t>Die Beschwerde richtet sich gegen den Endentscheid ( Art. 90 BGG ) eines oberen kantonalen Gerichts, das in einer Zivilsache ( Art. 72 BGG ) als Rechtsmittelinstanz entschieden ( Art. 75 BGG ) und die Anträge des Beschwerdeführers abgewiesen hat ( Art. 76 Abs. 1 BGG ). Der Streitwert ist mit Fr. 473'936.-- erreicht ( Art. 74 Abs. 1 lit. b BGG ) und die Beschwerdefrist ( Art. 100 Abs. 1 BGG ) ist eingehalten.</w:t>
      </w:r>
    </w:p>
    <w:p>
      <w:r>
        <w:rPr>
          <w:b/>
        </w:rPr>
        <w:t>E. 1.2</w:t>
      </w:r>
    </w:p>
    <w:p>
      <w:r>
        <w:t>Die Beschwerde hat ein Rechtsbegehren zu enthalten ( Art. 42 Abs. 1 BGG ). Da die Beschwerde an das Bundesgericht ein reformatorisches Rechtsmittel ist ( Art. 107 Abs. 2 BGG ), muss die rechtsuchende Partei grundsätzlich einen Antrag in der Sache stellen, das heisst angeben, welche Punkte des Entscheids sie anficht und welche Abänderungen sie beantragt. Dazu ist im Prinzip ein materieller Antrag erforderlich; ein Antrag auf blosse Aufhebung genügt nicht und macht die Beschwerde unzulässig ( BGE 134 III 379 E. 1.3 S. 383; 133 III 489 E. 3.1 S. 489 f.). Immerhin sind die Rechtsbegehren unter Berücksichtigung der Beschwerdebegründung nach dem Vertrauensprinzip auszulegen ( BGE 136 V 131 E. 1.2 S. 136; 134 III 235 E. 2 S. 236; 133 II 409 E. 1.4.2). Anträge auf Aufhebung und Rückweisung genügen ausnahmsweise dann, wenn das Bundesgericht im Falle der Gutheissung nicht selbst in der Sache entscheiden könnte ( BGE 136 V 131 E. 1.2; 134 III 379 E. 1.3 S. 383; 133 III 489 E. 3.1).</w:t>
      </w:r>
    </w:p>
    <w:p>
      <w:r>
        <w:rPr>
          <w:b/>
        </w:rPr>
        <w:t>E. 1.3</w:t>
      </w:r>
    </w:p>
    <w:p>
      <w:r>
        <w:t>Der Beschwerdeführer beantragt einzig, dass das vorinstanzliche Urteil aufzuheben und die Sache an die Vorinstanz "zur Gutheissung der Klage, eventualiter zur Neubeurteilung," zurückzuweisen sei. Einen materiellen Antrag stellt er nicht. Auch aus der nach Treu und Glauben ausgelegten Beschwerdebegründung geht nicht eindeutig hervor, in welchem Sinn der angefochtene Entscheid durch das Bundesgericht abgeändert werden soll. Ebensowenig legt er in der Beschwerdebegründung dar, warum der blosse Rückweisungsantrag ausnahmsweise genügen sollte. Der Beschwerdeführer trägt aber vor, dass er entgegen der Auffassung der Vorinstanz zur Geltendmachung der Ansprüche aus dem Wohnrecht aktivlegitimiert sei und rügt im Weiteren bezüglich dem Wohnrecht formelle Mängel, insbesondere Gehörsverletzungen. Sollten sich diese Rügen als begründet erweisen, wäre die Sache an die Vorinstanz zurückzuweisen. Bei dieser Sachlage genügt der blosse Rückweisungsantrag des Beschwerdeführers. Insoweit ist unter Vorbehalt einer rechtsgenüglichen Begründung ( Art. 42 Abs. 2 und Art. 106 Abs. 2 BGG ) auf die Beschwerde einzutreten.</w:t>
      </w:r>
    </w:p>
    <w:p>
      <w:r>
        <w:rPr>
          <w:b/>
        </w:rPr>
        <w:t>E. 1.4</w:t>
      </w:r>
    </w:p>
    <w:p>
      <w:r>
        <w:t>Soweit der Beschwerdeführer die Aufhebung des vorinstanzlichen Urteils auch insofern beantragt, als die Vorinstanz die Klage betreffend das Vorkaufsrecht abgewiesen hat, und er die Rückweisung "zur Gutheissung der Klage" auch betreffend das Vorkaufsrecht begehrt, gibt er in der Beschwerde keinerlei sachdienliche Begründung. Diesbezüglich ist nicht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Der Beschwerdeführer schildert in der Beschwerde den Sachverhalt aus seiner Sicht, ohne dass hinreichende Sachverhaltsrügen nach den oben genannten Voraussetzungen präsentiert werden. Im Folgenden ist deshalb vom Sachverhalt auszugehen, den die Vorinstanz festgestellt hat.</w:t>
      </w:r>
    </w:p>
    <w:p>
      <w:r>
        <w:rPr>
          <w:b/>
        </w:rPr>
        <w:t>E. 3</w:t>
      </w:r>
    </w:p>
    <w:p>
      <w:r>
        <w:t>Die Erstinstanz bejahte die Aktivlegitimation des Beschwerdeführers aufgrund der durch den Tod seines Vaters erfolgten Universalsukzession nach Art. 560 ZGB . Sie kam bezüglich dem Wohnrecht zusammengefasst zum Schluss, der Beschwerdegegner schulde dem Beschwerdeführer für die Nichtgewährung des Wohnrechts zufolge nachträglicher subjektiver Unmöglichkeit der Vertragserfüllung Schadenersatz (positives Vertragsinteresse) nach Art. 97 OR im Umfang von Fr. 251'568.--. Die Vorinstanz kam demgegenüber zum Schluss, dass die Erstinstanz Art. 6 OR bzw. "die Grundsätze der (normativen) Auslegung" nicht beachtet, in mehrfacher Weise den Sachverhalt unvollständig festgestellt, das "Recht auf Beweis", das rechtliche Gehör, die Verhandlungs- und die Dispositionsmaxime verletzt und den Grundsatz iura novit curia "überspannt" habe. Sie wies die Sache dennoch nicht an die Erstinstanz zurück, sondern erkannte, dass die Klage aus Wohnrecht mangels Aktivlegitimation abzuweisen sei. Dies mit folgender Begründung: Der Beschwerdeführer berufe sich für die nähere Ausgestaltung des Wohnrechts ausdrücklich auf die Bestimmungen von Art. 776 ff. ZGB zum dinglichen Wohnrecht. Gemäss der gesetzlichen Regelung von Art. 776 Abs. 2 ZGB sei das Wohnrecht unübertragbar und unvererblich. Das Wohnrecht gelte als höchstpersönliches Recht, wobei die Höchstpersönlichkeit zwingend sei. Daraus leite sich ab, dass die vom Wohnrecht erfassten Räume nicht vermietet werden dürften und der Wohnberechtigte seine Familienangehörigen und Hausgenossen nur aufnehmen dürfe, wenn dies vertraglich nicht ausgeschlossen sei. Demzufolge erlösche das Wohnrecht in jedem Fall mit dem Tod des Berechtigten. Gemäss Art. 114 OR würden auch Nebenrechte erlöschen. Mit dem Tod des Erblassers würden die Erben gemäss Art. 560 ZGB die Erbschaft zwar als Ganzes kraft Gesetz erben und die Aktiven und Passiven würden im Sinne der Universalsukzession auf sie übergehen. Nicht vererbbar seien indessen höchstpersönliche Rechte, deren Untergang beim Tod des Berechtigten gesetzlich vorgesehen sei, wie das Wohnrecht nach Art. 776 Abs. 2 ZGB . Der ausgeprägte und zwingend höchstpersönliche Charakter des Wohnrechts rechtfertige keine andere Handhabe, als dass sämtliche aus dem Vertrag fliessenden Rechte, namentlich auch Ansprüche zufolge Nicht- oder Schlechterfüllung des Vertrages, mit dem Tod des Erblassers erlöschen. Dies gelte zweifellos, wenn der Begünstigte selber zu Lebzeiten keine Ansprüche aus Vertrag geltend gemacht habe. Nach überzeugender Auffassung der Erstinstanz habe der Erblasser bis zu seinem Tod weder das Wahlrecht im Sinne von Art. 107 Abs. 2 OR ausgeübt, noch die geleistete Zahlung zurückverlangt oder Schadenersatzansprüche erhoben. Da er selbst die mit der vorliegenden Klage erhobenen Ansprüche zu Lebzeiten nicht erhoben habe, könne darauf verzichtet werden zu prüfen, ob eine Ausnahme der Unvererblichkeit für bereits vom Erblasser geltend gemachte, noch nicht rechtskräftig beurteilte Schadenersatzansprüche aus Wohnrecht gelten würde. Der Vater des Beschwerdeführers sei am 6. September 2013 verstorben, womit das Wohnrecht samt aller aus ihm fliessenden, nicht geltend gemachten vertraglichen Rechte erloschen sei. Die vorliegende Klage sei mit Einreichung des Schlichtungsbegehrens mehr als ein Jahr nach dem Erlöschen des Wohnrechts am 28. Oktober 2014 anhängig gemacht worden. Dem Beschwerdeführer fehle folglich die Aktivlegitimation zur Erhebung der Klage betreffend Wohnrecht. Diese sei daher abzuweisen.</w:t>
      </w:r>
    </w:p>
    <w:p>
      <w:r>
        <w:rPr>
          <w:b/>
        </w:rPr>
        <w:t>E. 4.1</w:t>
      </w:r>
    </w:p>
    <w:p>
      <w:r>
        <w:t>Der Beschwerdegegner anerkannte vor der Erstinstanz pauschal, dass er und der Vater des Beschwerdeführers im Jahre 2007 ein obligatorisches Wohnrecht bezüglich der Einliegerwohnung in seinem damals projektierten Einfamilienhaus in U.________ vereinbart hatten (vgl. zur Zulässigkeit des obligatorischen Wohnrechts: Urteil 5A_518/ 2017 vom 20. April 2018 E. 4.2.3 mit Hinweis). Die Vorinstanz stellte sodann fest, dass sich der Beschwerdeführer für die nähere Ausgestaltung des obligatorischen Wohnrechts ausdrücklich auf die Bestimmungen von Art. 776 ff. ZGB zum dinglichen Wohnrecht berufe. Dieses sei nach Art. 776 Abs. 2 ZGB unübertragbar und unvererblich. Die Vorinstanz erwog damit mit anderen Worten, dass der Beschwerdeführer geltend mache, sein Vater und der Beschwerdegegner hätten rechtsgeschäftlich vereinbart, dass das zwischen ihnen vereinbarte, obligatorische Wohnrecht wie das dingliche Wohnrecht mit dem Tod des Vaters des Beschwerdeführer als Berechtigten endet. Dies stellt der Beschwerdeführer vor Bundesgericht nicht in Frage, sondern er anerkennt im Gegenteil ausdrücklich, dass sein Vater und der Beschwerdegegner ein "lebenslanges Wohnrecht" abgeschlossen haben und das "Wohnrecht selbst (...) untrennbar mit der Person seines Trägers verbunden und deshalb nicht vererblich" sei.</w:t>
      </w:r>
    </w:p>
    <w:p>
      <w:r>
        <w:rPr>
          <w:b/>
        </w:rPr>
        <w:t>E. 4.2</w:t>
      </w:r>
    </w:p>
    <w:p>
      <w:r>
        <w:t>Der Beschwerdeführer beruft sich vor Bundesgericht vielmehr darauf, dass er "mit seiner Klage einen zu Lebzeiten des Erblassers entstandenen Schadenersatzanspruch aus Verletzung dieses Wohnrechtsvertrag geltend" mache, bzw. dass vermögensrechtliche Forderungen aus dem Wohnrechtsvertrag, "die bereits zu Lebzeiten entstanden " seien, auf ihn als Alleinerben seines Vaters übergegangen seien. Er sei damit entgegen der Auffassung der Vorinstanz aktivlegitimiert. Der Beschwerdeführer stellt sich dabei auf den Hauptstandpunkt, dass der Beschwerdegegner seinem Vater die Einliegerwohnung nie zur Verfügung gestellt habe und damit in Verzug nach Art. 102 ff. OR gekommen sei. Die daraus folgenden Wahlrechte seien infolge Erbgangs auf ihn übergegangen und er habe den Rücktritt vom Wohnrechtsvertrag erklärt. Eventualiter liege eine unerlaubte Handlung nach Art. 41 OR vor, da der Beschwerdegegner seinen Vater durch absichtliche Täuschung davon abgehalten habe, seine Wahlrechte nach Art. 107 ff. OR geltend zu machen. Subeventualiter sei die Leistung durch den Verkauf der Liegenschaft durch den Beschwerdegegner an einen Dritten subjektiv unmöglich geworden.</w:t>
      </w:r>
    </w:p>
    <w:p>
      <w:r>
        <w:rPr>
          <w:b/>
        </w:rPr>
        <w:t>E. 4.3</w:t>
      </w:r>
    </w:p>
    <w:p>
      <w:r>
        <w:t>Diese Auffassung geht fehl: Vor Bundesgericht wird nicht mehr in Frage gestellt, dass nach Abschluss des obligatorischen Wohnrechts im Jahre 2007 das Einfamilienhaus mit der Einliegerwohnung gebaut und die strittige Wohnung im Jahr 2009 bezugsbereit gewesen war, aber der Vater des Beschwerdeführers bis zu seinem Tod am 6. September 2013 das Wohnrecht nicht ausgeübte. Der Vater des Beschwerdeführers machte nach den Feststellungen der Vorinstanz, die der Beschwerdeführer vor Bundesgericht nicht hinreichend in Frage stellt, bis zu seinem Tod sodann weder das "Wahlrecht im Sinne von Art. 107 Abs. 2 OR " geltend, noch verlangte er die geleistete Zahlung zurück, noch erhob er Schadenersatzansprüche. Ebensowenig ist festgestellt, dass der Vater des Beschwerdeführers zu Lebzeiten den Beschwerdegegner zur Leistung bezüglich dem Wohnrecht aufforderte, mithin vom Beschwerdegegner die Befugnis zur Nutzung der Einliegerwohnung im Einfamilienhaus in U.________ zu Wohnzwecken verlangte. Aus dem vorinstanzlichen Sachverhalt ergibt sich diesbezüglich einzig, dass die Schreiben vom 2. April, 26. Juli und 15. August 2011 "ein waches Interesse" des Vaters des Beschwerdeführers am Wohnrecht suggerieren würden. Dass er aber gegenüber dem Beschwerdegegner die Leistung verlangt oder je moniert hätte, die Wohnung stehe ihm nicht zur Verfügung, ist nicht festgestellt und lässt sich auch nicht aus den genannten Schreiben ableiten. Eine Sachverhaltsergänzung verlangt der Beschwerdeführer diesbezüglich nicht, zumindest nicht rechtsgenüglich. Da der Beschwerdegegner durch den Vater des Beschwerdeführers nicht zur Leistung aufgefordert wurde und nicht geltend gemacht wird, dass der Beschwerdegegner auch ohne Aufforderung hätte leisten müssen, konnte zu Lebzeiten des Vaters des Beschwerdeführers der Beschwerdegegner bezüglich dem obligatorischen Wohnrecht mangels Pflichtwidrigkeit nicht in Schuldnerverzug kommen (vgl. Weber, Berner Kommentar, N. 55 zu Art. 102 OR ). Entsprechend sind zu Lebzeiten des Vaters des Beschwerdeführers keine Ansprüche aus Schuldnerverzug entstanden, die auf den Beschwerdeführer als dessen Erben hätten übergehen können. Die Hauptbegründung des Beschwerdeführers geht damit fehl. Auch die eventualiter und subeventualiter vorgebrachte Argumentation verfängt nicht: Weil es zu Lebzeiten des Vaters des Beschwerdeführers schon an einem Schuldnerverzug fehlt, entfällt auch eine absichtliche Täuschung über die Geltendmachung der Wahlrechte nach Art. 107 ff. OR . Schliesslich setzt auch ein Schadenersatzanspruch wegen nachträglicher, subjektiver Unmöglichkeit grundsätzlich voraus, dass die Leistung zunächst vom Gläubiger verlangt wird. Denn erst dann stellt sich die Frage, ob der Schuldner die Leistung erbringen oder ob er diese durch ihn zu verantwortende Umstände nicht mehr bewirken kann (vgl. dazu: BGE 135 III 212 E. 3.1). Da eine solche Aufforderung zu Lebzeiten des Vaters des Beschwerdeführers nicht erfolgte, entstand damit auch kein entsprechender Anspruch, der auf den Beschwerdeführer als Erben hätte übergehen können. Nach dem Tod seines Vaters kann der Beschwerdeführer selbst die Erfüllung aus dem obligatorischen Wohnrechtsvertrag nicht mehr verlangen, da die Realerfüllung nach der rechtsgeschäftlichen Gestaltung des vorliegenden Wohnrechtsvertrags unbestrittenermassen nur seinem Vater zustand (vgl. Erwägung 4.1). Da der Beschwerdeführer die Erfüllung nicht fordern kann, entfällt nach dem Tod des Vaters auch die Geltendmachung eines Schadenersatzanspruchs wegen Nichterfüllung. Die Vorinstanz hat die Klage des Beschwerdeführers daher zu Recht abgewiesen. Bei dieser Ausgangslage braucht auf die Rügen des Beschwerdeführers, wonach kein Angebot zur Vertragsänderung (alternatives Wohnrecht) vorliege bzw. die Vorinstanz diesbezüglich Recht falsch angewandt habe, und dass sein als Eventualbegründung geltend gemachter Anspruch aus unerlaubter Handlung nicht verwirkt sei, nicht eingegangen zu werden.</w:t>
      </w:r>
    </w:p>
    <w:p>
      <w:r>
        <w:rPr>
          <w:b/>
        </w:rPr>
        <w:t>E. 5</w:t>
      </w:r>
    </w:p>
    <w:p>
      <w:r>
        <w:t>Nach dem Gesagten ist die Beschwerde abzuweisen, soweit auf sie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