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4A_625/2014 vom 25. Juni 2015</w:t>
      </w:r>
    </w:p>
    <w:p>
      <w:r>
        <w:t>Bundesgericht, 2015-06-25, FR</w:t>
      </w:r>
    </w:p>
    <w:p>
      <w:r>
        <w:rPr>
          <w:b/>
        </w:rPr>
        <w:t xml:space="preserve">Quelle: </w:t>
      </w:r>
      <w:r>
        <w:t>https://mcp.opencaselaw.ch/entscheid/bger_4A_625_2014</w:t>
      </w:r>
    </w:p>
    <w:p>
      <w:r>
        <w:t>FR: TF 4A_625/2014 du 25 juin 2015</w:t>
      </w:r>
    </w:p>
    <w:p>
      <w:r>
        <w:t>IT: TF 4A_625/2014 del 25 giugno 2015</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La contestation porte sur l'annulation du congé signifié le 23 mars 2011.</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références à d'autres auteurs).</w:t>
      </w:r>
    </w:p>
    <w:p>
      <w:r>
        <w:t>Aux termes de l' art. 271a al. 1 let. b CO , le congé est aussi annulable lorsqu'il est donné par le bailleur dans le but d'imposer au locataire une modification unilatérale du contrat ou une adaptation du loyer. Le congé visé dans cette seconde hypothèse doit se trouver en rapport direct avec une majoration de loyer, en ce sens que le locataire soit placé en fait dans une situation de contrainte, devant l'alternative de quitter les locaux ou de payer un loyer plus élevé. Il importe peu que le contrat soit résilié avant ou après une augmentation du loyer, pour autant que les démarches du bailleur aient pour effet de placer le locataire dans cette situation de contrainte ( ATF 115 II 83 consid. 2c p. 86, concernant une disposition actuellement remplacée par l' art. 271a al. 1 let. b CO ).</w:t>
      </w:r>
    </w:p>
    <w:p>
      <w:r>
        <w:rPr>
          <w:b/>
        </w:rPr>
        <w:t>E. 3</w:t>
      </w:r>
    </w:p>
    <w:p>
      <w:r>
        <w:t>La validité d'un congé doit être appréciée en fonction des circonstances présentes au moment de cette manifestation de volonté ( ATF 140 III 496 consid. 4.1 p. 497; 138 III 59 consid. 2.1 i.f. p. 62; 109 II 153 consid. 3b p. 156). En élucider le motif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Au reste, en vertu de l' art. 105 al. 1 LTF , le Tribunal fédéral est lié par les constatations de l'autorité précédente.</w:t>
      </w:r>
    </w:p>
    <w:p>
      <w:r>
        <w:t>En l'espèce, la défenderesse soutient que le congé litigieux du 23 mars 2011 est un congé-représailles consécutif à sa demande de baisse du loyer présentée le 28 janvier 2011, à laquelle les bailleurs ont d'ailleurs donné suite. Elle fait état de déclarations du représentant des bailleurs devant l'autorité de conciliation, selon lesquelles les congés ont été adressés précisément aux locataires qui avaient demandé des diminutions de loyer. La défenderesse soutient que son congé est aussi un congé-contrainte tendant à imposer une hausse de loyer. Elle expose qu'en contrepartie de majorations importantes des loyers concernés, les bailleurs ont accepté de retirer deux des congés signifiés par eux à d'autres locataires, et renoncé à faire exécuter des travaux dans leurs appartements. La défenderesse fait aussi valoir que des travaux n'ont été effectivement accomplis que dans deux des logements restitués aux bailleurs par suite des congés; il faut prétendument en déduire que ces propriétaires n'avaient pas réellement l'intention de procéder à des réfections.</w:t>
      </w:r>
    </w:p>
    <w:p>
      <w:r>
        <w:t>Sur la base d'une discussion des éléments d'appréciation qu'elle a jugés topiques, la Cour d'appel retient que les bailleurs ont résilié le contrat pour le motif indiqué par eux dès le 4 avril 2011, c'est-à-dire pour procéder à une rénovation complète de l'appartement et, ensuite, le ré-offrir sur le marché locatif aux conditions actuelles de ce marché. Il s'agit d'une constatation de fait qui lie le Tribunal fédéral. La défenderesse propose inutilement sa propre discussion des indices en présence car ce procédé est inapte à mettre en évidence une erreur certaine et indiscutable dans la décision attaquée; l'argumentation ainsi développée est irrecevable au regard de l' art. 97 al. 1 LTF et de la jurisprudence précitée. Dans son contrôle de la validité du congé, le Tribunal fédéral doit plutôt s'en tenir rigoureusement au motif constaté par la Cour d'appel.</w:t>
      </w:r>
    </w:p>
    <w:p>
      <w:r>
        <w:rPr>
          <w:b/>
        </w:rPr>
        <w:t>E. 4</w:t>
      </w:r>
    </w:p>
    <w:p>
      <w:r>
        <w:t>L' 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 ATF 136 III 190 consid. 3 in fine p. 194).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 ATF 140 III 496 consid. 4.2.2 p. 499; 135 III 112 consid. 4.2 p. 119).</w:t>
      </w:r>
    </w:p>
    <w:p>
      <w:r>
        <w:rPr>
          <w:b/>
        </w:rPr>
        <w:t>E. 5</w:t>
      </w:r>
    </w:p>
    <w:p>
      <w:r>
        <w:t>Il est établi que des travaux ont déjà été exécutés après fin octobre 2009 dans l'appartement de quatre pièces et demi présentement concerné. Selon les constatations de la Cour d'appel, ces travaux ont surtout consisté dans la pose d'un carrelage à la salle de bains, la réfection complète d'un local avec douche et toilettes, et la réfection complète de deux pièces; ils ont apporté à la chose louée une plus-value qui a justifié une augmentation du loyer. Dans leur réponse au recours, les demandeurs tentent inutilement d'en réduire l'importance en arguant de « légers travaux d'entretien », car à ce sujet aussi, le Tribunal fédéral est lié par les constatations de l'autorité précédente.</w:t>
      </w:r>
    </w:p>
    <w:p>
      <w:r>
        <w:t>A l'appui du recours, la défenderesse fait valoir qu'elle n'a reçu aucune information relative au projet de rénovation complète qui est censé justifier le congé litigieux. Cela n'est pas sérieusement contredit dans la réponse des demandeurs. Selon leur argumentation, il résulte du seul fait que l'appartement a été loué durant plus de trente ans - dès 1979 - que sa rénovation complète nécessite impérieusement le départ de la défenderesse. La présomption ainsi proposée ne convainc pas. L'annonce d'une « rénovation complète afin d'élever l'appartement aux standards actuels » est trop générale; à elle seule, elle ne permet pas au locataire d'apprécier s'il existe réellement un projet de travaux ou si cette annonce n'est au contraire qu'un simple prétexte destiné à dissimuler un congé-représailles ou un congé-contrainte. Une pareille annonce, sans aucune description concrète des travaux planifiés, ne met pas non plus le locataire en mesure d'évaluer objectivement les difficultés que sa présence entraînerait dans l'exécution des travaux. En l'espèce, cette annonce suffit d'autant moins que des travaux sont intervenus en 2009 dans l'appartement en cause, excédant le simple entretien puisqu'ils ont apporté une plus-value et justifié une augmentation du loyer. Au moment du congé litigieux, la défenderesse ne connaissait pas le montant des travaux qui seraient plus tard exécutés dans deux autres appartements; cet élément ne contribuait donc pas non plus à établir la nécessité de vider entièrement le logement en cause pour la réalisation adéquate de sa rénovation.</w:t>
      </w:r>
    </w:p>
    <w:p>
      <w:r>
        <w:t>En réalité, entre l'annonce de la « rénovation complète » et l'échéance du délai disponible pour contester le congé, la défenderesse n'a eu aucune possibilité d'évaluer la réalité des intentions alléguées par les bailleurs, l'importance des travaux envisagés et la gêne que sa présence entraînerait dans leur exécution. Contrairement à l'opinion également avancée dans la réponse, il ne suffit pas que la défenderesse ait su que les travaux concerneraient son propre appartement. Dans ces conditions, le congé motivé par un projet de rénovation ne répond pas aux exigences de la bonne foi, dont la jurisprudence rappelée ci-dessus délimite la portée; ce congé est au contraire annulable au regard de l' art. 271 al. 1 CO .</w:t>
      </w:r>
    </w:p>
    <w:p>
      <w:r>
        <w:t>Les demandeurs se prétendent en droit de résilier le contrat dans le seul but de relouer le logement sans exécution de travaux mais néanmoins à un prix plus élevé. Cette discussion est dépourvue de pertinence car le congé présentement litigieux n'a pas été motivé par la simple intention de relouer l'appartement dans l'état où il se trouvait. L'intention annoncée lors du congé et constatée par la Cour d'appel portait au contraire sur une rénovation complète, suivie d'une nouvelle mise en location.</w:t>
      </w:r>
    </w:p>
    <w:p>
      <w:r>
        <w:t>Le recours en matière civile se révèle fondé dans ses conclusions principales, ce qui entraîne la réforme de l'arrêt attaqué.</w:t>
      </w:r>
    </w:p>
    <w:p>
      <w:r>
        <w:rPr>
          <w:b/>
        </w:rPr>
        <w:t>E. 6</w:t>
      </w:r>
    </w:p>
    <w:p>
      <w:r>
        <w:t>Conformément à la législation cantonale, le Tribunal des baux n'a pas perçu de frais judiciaires ni alloué de dépens. Compte tenu que la cause sera de toute manière renvoyée à la Cour d'appel pour statuer à nouveau sur les frais et dépens d'appel, il n'est pas nécessaire d'examiner la critique que la défenderesse élève contre la répartition opérée dans l'arrêt attaqué.</w:t>
      </w:r>
    </w:p>
    <w:p>
      <w:r>
        <w:rPr>
          <w:b/>
        </w:rPr>
        <w:t>E. 7</w:t>
      </w:r>
    </w:p>
    <w:p>
      <w:r>
        <w:t>A titre de parties qui succombent, les demandeurs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