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4A_624/2018 vom 2. September 2019</w:t>
      </w:r>
    </w:p>
    <w:p>
      <w:r>
        <w:t>Bundesgericht, 2019-09-02, FR</w:t>
      </w:r>
    </w:p>
    <w:p>
      <w:r>
        <w:rPr>
          <w:b/>
        </w:rPr>
        <w:t xml:space="preserve">Quelle: </w:t>
      </w:r>
      <w:r>
        <w:t>https://mcp.opencaselaw.ch/entscheid/bger_4A_624_2018</w:t>
      </w:r>
    </w:p>
    <w:p>
      <w:r>
        <w:t>FR: TF 4A_624/2018 du 2 septembre 2019</w:t>
      </w:r>
    </w:p>
    <w:p>
      <w:r>
        <w:t>IT: TF 4A_624/2018 del 2 settembre 2019</w:t>
      </w:r>
    </w:p>
    <w:p>
      <w:pPr>
        <w:pStyle w:val="Heading2"/>
      </w:pPr>
      <w:r>
        <w:t>Erwägungen</w:t>
      </w:r>
    </w:p>
    <w:p>
      <w:r>
        <w:rPr>
          <w:b/>
        </w:rPr>
        <w:t>E. 1</w:t>
      </w:r>
    </w:p>
    <w:p>
      <w:r>
        <w:t>L'arrêt attaqué est une décision finale ( art. 90 LTF ) rendue en matière civile ( art. 72 LTF ) par le tribunal supérieur désigné comme autorité cantonale de dernière instance, lequel a statué sur recours ( art. 75 LTF ). La cause atteint la valeur litigieuse minimale de 15'000 fr. ouvrant le recours en matière civile dans les affaires relevant du droit du travail ( art. 74 al. 1 let. a LTF ). Le recours est exercé par la partie qui a succombé dans ses conclusions libératoires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p. 88 s., 115 consid. 2 p. 116;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est constant que les parties ont été liées par un contrat de travail, lequel a pris fin lorsque l'employeur a congédié l'employée de manière abrupte le 28 octobre 2014. Le litige porte sur les montants que l'employeur a été condamné à verser à l'employée et à l'intervenante au titre du contrat de travail et de la résiliation de ce dernier. S'agissant du certificat de travail qu'il incombait à l'employeur de délivrer à l'employée, le recours se révèle irrecevable. En effet, malgré les conclusions du recourant tendant au rejet</w:t>
      </w:r>
    </w:p>
    <w:p>
      <w:r>
        <w:t>in integro de la demande de l'employée, aucune motivation n'est consacrée à cette question dans le mémoire de recours (cf. art. 42 al. 2 LTF ).</w:t>
      </w:r>
    </w:p>
    <w:p>
      <w:r>
        <w:rPr>
          <w:b/>
        </w:rPr>
        <w:t>E. 4.1</w:t>
      </w:r>
    </w:p>
    <w:p>
      <w:r>
        <w:t>Le coeur du litige est lié à la résiliation immédiate du contrat de travail. La cour cantonale a considéré qu'elle n'était pas fondée sur un juste motif: l'employeur invoquait l'abandon par l'employée de son poste de travail; or, il avait attendu, pour s'en prévaloir, 17 jours après la fin connue de l'arrêt maladie de l'intimée et 10 jours après que celle-ci s'était déterminée sur les reproches formulés à son encontre, ce qui était tardif. Cette résiliation était de surcroît abusive, dès lors qu'elle constituait un congé-modification découlant de l'absence d'accord entre les parties quant à la modification du taux d'activité de l'employée. Cela étant, les juges cantonaux ont relevé que le caractère tant injustifié qu'abusif de la résiliation n'était pas contesté par l'employeur. Ils ont condamné ce dernier à verser à l'employée une somme de 6'913 fr.35 à titre d'indemnité pour licenciement avec effet immédiat injustifié en application de l' art. 337c al. 3 CO .</w:t>
      </w:r>
    </w:p>
    <w:p>
      <w:r>
        <w:rPr>
          <w:b/>
        </w:rPr>
        <w:t>E. 4.2</w:t>
      </w:r>
    </w:p>
    <w:p>
      <w:r>
        <w:t>Le recourant ne prétend pas que la résiliation immédiate serait justifiée. Il s'attache en revanche à démontrer que le montant dû à l'employée du chef de la résiliation injustifiée de son contrat devrait être calculé sur la base d'un salaire de 1'382 fr.65 par mois (soit 20% de 6'913 fr.35), compte tenu de l'accord prétendument venu à chef quant à une réduction à 20% du taux d'activité de l'employée. Le grief tiré d'une violation de l' art. 337c CO n'a pas d'autre portée. Il ne peut qu'être rejeté.</w:t>
      </w:r>
    </w:p>
    <w:p>
      <w:r>
        <w:rPr>
          <w:b/>
        </w:rPr>
        <w:t>E. 4.3</w:t>
      </w:r>
    </w:p>
    <w:p>
      <w:r>
        <w:t>La question est donc de savoir ce qu'il est advenu d'un hypothétique accord prévoyant une réduction du taux d'activité de l'employée à compter du 1</w:t>
      </w:r>
    </w:p>
    <w:p>
      <w:r>
        <w:t>er octobre 2014.</w:t>
      </w:r>
    </w:p>
    <w:p>
      <w:r>
        <w:t>La cour cantonale a retenu, en fait, que l'employeur avait offert à l'employée, par courriel du 10 septembre 2014, de réduire son taux d'activité à 20% dès le 1</w:t>
      </w:r>
    </w:p>
    <w:p>
      <w:r>
        <w:t>er octobre 2014. Elle s'est abstenue de déterminer si, dans un premier temps, l'employée avait ou non accepté cette offre. En effet, de deux choses l'une: soit elle ne l'avait pas acceptée, mais au contraire refusée comme le courriel subséquent du 10 octobre 2014 en était l'illustration; soit elle l'avait initialement acceptée et ce courriel constituait alors une déclaration d'invalidation partielle pour erreur essentielle ( art. 24 al. 1 ch. 4 CO ), laquelle était pleinement efficace; dans ce cas de figure, l'invalidation portait sur la réduction du taux d'activité pendant le délai de congé.</w:t>
      </w:r>
    </w:p>
    <w:p>
      <w:r>
        <w:t>Afin de parvenir à cette conclusion, les juges cantonaux ont raisonné comme suit. Il était capital pour l'employée qu'elle obtienne des indemnités de chômage pour compenser la différence de revenu résultant de la modification de son taux d'activité; elle l'avait manifesté à l'employeur en le questionnant sur l'effet que la réduction proposée aurait sur ses droits à des prestations de l'assurance-chômage. Il importait peu de savoir si et, le cas échéant, ce que le recourant lui avait répondu. Il pouvait et devait se rendre compte de l'importance décisive que le droit de l'employée à des prestations de l'assurance-chômage avait pour l'acceptation ou le refus de son offre. L'employée s'était vue ultérieurement répondre, par la caisse de chômage, qu'il ne lui serait versé aucune indemnité durant un laps de temps correspondant au délai de congé qui aurait dû être respecté avant l'entrée en vigueur de cette réduction. L'employée avait ainsi exigé de l'employeur le respect de ce délai par courriel du 10 octobre 2014 en faisant valoir qu'elle avait été "conne de vouloir prendre tout sur (elle), partir comme (l'employeur avait) envie du jour au lendemain et être pénalisée par le chômage"; par ce courriel, elle avait valablement invoqué s'être trouvée dans l'erreur sur un point essentiel de l'accord intervenu.</w:t>
      </w:r>
    </w:p>
    <w:p>
      <w:r>
        <w:rPr>
          <w:b/>
        </w:rPr>
        <w:t>E. 4.4</w:t>
      </w:r>
    </w:p>
    <w:p>
      <w:r>
        <w:t>Parmi plusieurs violations du droit prétendument commises par la cour cantonale, le recourant se plaint d'une mauvaise application de l' art. 24 CO . A son sens, on se trouverait en présence d'une simple erreur sur les motifs - plus précisément une erreur sur les effets accessoires de l'accord - qui ne pourrait justifier l'invalidation de ce dernier, ce que la cour cantonale aurait méconnu.</w:t>
      </w:r>
    </w:p>
    <w:p>
      <w:r>
        <w:rPr>
          <w:b/>
        </w:rPr>
        <w:t>E. 4.4.1</w:t>
      </w:r>
    </w:p>
    <w:p>
      <w:r>
        <w:t>Selon l' art. 23 CO , le contrat n'oblige pas celle des parties qui, au moment de conclure, était dans une erreur essentielle. L'erreur qui porte uniquement sur les motifs n'est en principe pas essentielle ( art. 24 al. 2 CO ; ATF 118 II 58 consid. 3b). Fait exception l'erreur de base au sens de l' art. 24 al. 1 ch. 4 CO (</w:t>
      </w:r>
    </w:p>
    <w:p>
      <w:r>
        <w:t>Grundlagenirrtum ). Selon cette disposition, l'erreur est essentielle lorsqu'elle porte sur des faits que la loyauté commerciale permettait à celui qui se prévaut de son erreur de considérer comme des éléments nécessaires du contrat. L'erreur essentielle au sens de l' art. 24 al. 1 ch. 4 CO doit porter tout d'abord sur un fait subjectivement essentiel: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le cocontractant doit pouvoir se rendre compte, de bonne foi, que l'erreur de la victime porte sur un fait qui était objectivement de nature à la déterminer à conclure le contrat ou à le conclure aux conditions convenues ( ATF 136 III 528 consid. 3.4.1; 135 III 537 consid. 2.2; 132 III 737 consid. 1.3 p. 741; 129 III 363 consid. 5.3; 118 II 58 consid. 3a).</w:t>
      </w:r>
    </w:p>
    <w:p>
      <w:r>
        <w:t>Savoir si et dans quelle mesure une partie se trouve dans l'erreur au moment où elle manifeste une volonté relève du fait, tandis qu'apprécier si l'erreur constatée est essentielle au sens de l' art. 24 al. 1 ch. 4 CO relève du droit ( ATF 135 III 537 consid. 2.2; 134 III 643 consid. 5.3.1; 113 II 25 consid. 1a).</w:t>
      </w:r>
    </w:p>
    <w:p>
      <w:r>
        <w:rPr>
          <w:b/>
        </w:rPr>
        <w:t>E. 4.4.2</w:t>
      </w:r>
    </w:p>
    <w:p>
      <w:r>
        <w:t>La cour cantonale a considéré que l'employée s'était trouvée en proie à une erreur de base au sens de l' art. 24 al. 1 ch. 4 CO . Pouvoir obtenir sans délai par le biais de l'assurance-chômage le différentiel entre son plein salaire et celui correspondant à son taux d'activité réduit à 20% à compter du 1</w:t>
      </w:r>
    </w:p>
    <w:p>
      <w:r>
        <w:t>er octobre 2014 revêtait pour elle un caractère essentiel. Cela étant, elle a erré en jugeant que cette circonstance devait objectivement être considérée comme essentielle selon la loyauté commerciale. Cette condition fait défaut. Lorsqu'une réduction du taux d'activité d'un employé est convenue, les expectatives de ce dernier s'agissant de l'assurance-chômage ne font pas partie des éléments que la loyauté commerciale impose à l'employeur de tenir pour essentiels. Celui-ci n'a pas à inférer d'une question qui lui est posée à ce sujet qu'il s'agit là d'un élément crucial, de nature à remettre en cause le principe même de la réduction du temps de travail convenue. En principe, lorsqu'on réduit son activité professionnelle, c'est pour disposer de son temps différemment, et non dans le but d'obtenir une compensation financière d'une assurance publique. Cet élément peut bien évidemment, selon la situation, entrer en ligne de compte dans la pesée des intérêts, mais il n'y a objectivement pas lieu d'y voir un élément essentiel selon le principe de la bonne foi en affaires. En l'espèce, il n'y a pas d'erreur de base au sens de l' art. 24 al. 1 ch. 4 CO . L'intimée s'est trouvée dans l'erreur quant à l'incidence de la convention sur ses droits à l'assurance-chômage; il s'agit là d'une erreur sur les motifs du contrat ( art. 24 al. 2 CO ), qui n'est pas essentielle.</w:t>
      </w:r>
    </w:p>
    <w:p>
      <w:r>
        <w:t>Le grief tiré d'une violation de l' art. 24 CO est fondé, de sorte que la question d'une violation de l' art. 8 CC soulevée par le recourant en relation avec le raisonnement qui précède peut demeurer ouverte.</w:t>
      </w:r>
    </w:p>
    <w:p>
      <w:r>
        <w:t>Il s'ensuit que l'affaire doit être renvoyée à la cour cantonale afin qu'elle détermine s'il y a eu accord des parties sur la réduction du taux d'activité de l'employée, lequel serait passé de 100 à 20% à compter du 1</w:t>
      </w:r>
    </w:p>
    <w:p>
      <w:r>
        <w:t>er octobre 2014, comme le recourant le soutient. Le cas échéant, l'autorité cantonale devra tirer les conséquences qui s'imposent s'agissant de l'indemnité due à l'employée sur la base de l' art. 337c al. 3 CO , du salaire auquel l'employée peut prétendre durant la période correspondant à son incapacité de travail pour cause de maladie et au délai de congé consécutif à la résiliation de son contrat, comme de l'indemnisation des jours de vacances qu'elle n'a pas eu le loisir de prendre avant le terme de son contrat de travail. Elle déterminera également dans quelle mesure la Caisse cantonale de chômage est subrogée à l'intimée. Tous les griefs en relation avec les points énumérés ci-dessus peuvent ainsi souffrir de demeurer indécis.</w:t>
      </w:r>
    </w:p>
    <w:p>
      <w:r>
        <w:rPr>
          <w:b/>
        </w:rPr>
        <w:t>E. 5</w:t>
      </w:r>
    </w:p>
    <w:p>
      <w:r>
        <w:t>Demeure un pan du litige qui est indépendant de ce qui précède: il s'agit de la créance de l'employée relative au différentiel entre le salaire annoncé sur les fiches de salaire et celui effectivement perçu de janvier à septembre 2014. Cette période est en effet antérieure à l'hypothétique accord concernant la réduction du taux d'activité de l'employée.</w:t>
      </w:r>
    </w:p>
    <w:p>
      <w:r>
        <w:rPr>
          <w:b/>
        </w:rPr>
        <w:t>E. 5.1</w:t>
      </w:r>
    </w:p>
    <w:p>
      <w:r>
        <w:t>La cour cantonale a jugé que l'employeur demeurait débiteur envers l'employée de 2'071 fr.45 à ce titre. Le recourant ne soulève pas de grief spécifique à cet encontre. En revanche, il se prétend titulaire d'une créance contre l'employée, qu'il a invoquée en compensation. Selon le recourant, les juges précédents auraient écarté l'exception de compensation en violation du droit.</w:t>
      </w:r>
    </w:p>
    <w:p>
      <w:r>
        <w:t>Selon la cour cantonale, l'employeur avait invoqué la compensation avec une créance qu'il détenait contre l'employée en versement de sa part aux frais du ménage, d'un montant de 2'500 fr. par mois. Il avait opposé une créance compensante de 10'000 fr. en première instance, alors qu'il l'avait chiffrée à 11'500 fr. en appel. Il était toutefois inutile de déterminer s'il pouvait ainsi en augmenter le montant. En effet, il n'avait pas démontré que la condition spécifique imposée par l' art. 323b al. 2 CO était remplie, à savoir que la débitrice était en mesure de financer son minimum vital et celui de son enfant sans la totalité de son salaire, alors que le fardeau lui en incombait. L'exception de compensation devait ainsi de toute manière être rejetée.</w:t>
      </w:r>
    </w:p>
    <w:p>
      <w:r>
        <w:rPr>
          <w:b/>
        </w:rPr>
        <w:t>E. 5.2</w:t>
      </w:r>
    </w:p>
    <w:p>
      <w:r>
        <w:t>Le recourant fait grief à la cour cantonale d'avoir violé l' art. 8 CC en considérant qu'il assumait le fardeau de la preuve de l'absence d'atteinte au minimum vital de l'employée. Il discerne également une violation de l' art. 125 CO en ce sens que l'employée n'aurait à aucun moment invoqué une semblable atteinte. Selon lui, il serait "douteux" qu'elle existât. Enfin, la restriction affectant les possibilités de compenser ancrée à l'art. 125 al. 2 et à l' art. 323b al. 2 CO ne vaudrait que pour le salaire, et non pour les indemnités dues en cas de licenciement abusif ou pour les vacances non prises.</w:t>
      </w:r>
    </w:p>
    <w:p>
      <w:r>
        <w:rPr>
          <w:b/>
        </w:rPr>
        <w:t>E. 5.3</w:t>
      </w:r>
    </w:p>
    <w:p>
      <w:r>
        <w:t>Aux termes de l' art. 323b al. 2 CO , l'employeur peut compenser le salaire avec une créance contre le travailleur uniquement dans la mesure où le salaire est saisissable. En d'autres termes, la compensation n'est pas possible si le salaire est insaisissable. Lorsque la créance compensante consiste en un salaire, la compensation est ainsi soumise à une condition. Savoir qui supporte le fardeau de la preuve du caractère insaisissable de tout ou partie du salaire se détermine sur la base de l' art. 8 CC . Selon cette disposition, chaque partie doit, si la loi ne prescrit le contraire, prouver les faits qu'elle allègue pour en déduire un droit. Contrairement à ce que paraît inférer la cour cantonale, il ne s'agit pas ici d'un fait générateur du droit à la compensation qu'il appartiendrait à l'employeur de démontrer, mais d'un fait qui fait obstacle à celle-ci, soit un fait dirimant. Le fardeau de la preuve de cette condition repose dès lors sur l'employée, qui dispose d'ailleurs de tous les éléments pour apporter cette preuve.</w:t>
      </w:r>
    </w:p>
    <w:p>
      <w:r>
        <w:t>Il appartenait ainsi à cette dernière de démontrer que tout ou partie de son salaire était insaisissable. En faisant supporter à l'employeur l'échec de la preuve corrélative, la cour cantonale a méconnu les règles sur le fardeau de la preuve. La cause doit dès lors lui être renvoyée afin qu'elle tranche la question demeurée ouverte de la recevabilité de l'exception de compensation et qu'elle en tire les conséquences s'agissant du solde dû en faveur de l'intimée.</w:t>
      </w:r>
    </w:p>
    <w:p>
      <w:r>
        <w:rPr>
          <w:b/>
        </w:rPr>
        <w:t>E. 6</w:t>
      </w:r>
    </w:p>
    <w:p>
      <w:r>
        <w:t>Sur le vu de ce qui précède, le recours est irrecevable en tant qu'il concerne le certificat de travail, objet du chiffre V du jugement de première instance confirmé en appel. Pour le surplus, le recours doit être admis; l'arrêt attaqué sera annulé et la cause sera renvoyée à la cour cantonale afin qu'elle se prononce à nouveau sur les postes litigieux.</w:t>
      </w:r>
    </w:p>
    <w:p>
      <w:r>
        <w:t>Le recourant obtient gain de cause dans la mesure où l'arrêt qu'il attaque est annulé pour l'essentiel. Dans ces circonstances, il se justifie de mettre les frais de la procédure pour trois quarts à la charge de l'intimée et pour un quart à la charge du recourant ( art. 66 al. 1 LTF ). La même clé de répartition sera appliquée à la prise en charge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