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4A_622/2014 vom 28. November 2014</w:t>
      </w:r>
    </w:p>
    <w:p>
      <w:r>
        <w:t>Bundesgericht, 2014-11-28, FR</w:t>
      </w:r>
    </w:p>
    <w:p>
      <w:r>
        <w:rPr>
          <w:b/>
        </w:rPr>
        <w:t xml:space="preserve">Quelle: </w:t>
      </w:r>
      <w:r>
        <w:t>https://mcp.opencaselaw.ch/entscheid/bger_4A_622_2014</w:t>
      </w:r>
    </w:p>
    <w:p>
      <w:r>
        <w:t>FR: TF 4A_622/2014 du 28 novembre 2014</w:t>
      </w:r>
    </w:p>
    <w:p>
      <w:r>
        <w:t>IT: TF 4A_622/2014 del 28 novembre 2014</w:t>
      </w:r>
    </w:p>
    <w:p>
      <w:pPr>
        <w:pStyle w:val="Heading2"/>
      </w:pPr>
      <w:r>
        <w:t>Erwägungen</w:t>
      </w:r>
    </w:p>
    <w:p>
      <w:r>
        <w:rPr>
          <w:b/>
        </w:rPr>
        <w:t>E. 1.1</w:t>
      </w:r>
    </w:p>
    <w:p>
      <w:r>
        <w:t>La sentence rendue dans le cadre d'un arbitrage interne peut faire l'objet d'un recours devant le Tribunal fédéral ( art. 389 al. 1 CPC ). La procédure est régie par la loi du 17 juin 2005 sur le Tribunal fédéral (LTF) sauf disposition contraire du chapitre 1 du titre 7 de la partie 3 du CPC ( art. 389 al. 2 CPC ). Selon l' art. 77 al. 1 LTF , c'est par la voie du recours en matière civile que les décisions des tribunaux arbitraux peuvent être attaquées devant le Tribunal fédéral, tant pour l'arbitrage international, aux conditions fixées aux art. 190 à 192 LDIP (let. a), que pour l'arbitrage interne, aux conditions fixées aux art. 389 à 395 CPC (let. b). Dans les deux cas, un certain nombre de dispositions de la LTF, en particulier les art. 95 à 98 relatifs aux motifs de recours, de même que l'art. 105 al. 2, qui permet, à certaines conditions, de rectifier ou de compléter l'état de fait, sont déclarées inapplicables par l' art. 77 al. 2 LTF . En revanche, l' art. 99 al. 1 LTF est maintenu, qui interdit de présenter un fait nouveau ou une preuve nouvelle, à quelques exceptions près ( art. 77 al. 2 LTF</w:t>
      </w:r>
    </w:p>
    <w:p>
      <w:r>
        <w:t>a contrario ). Quant à l' art. 77 al. 3 LTF , il impose au Tribunal fédéral de n'examiner que les griefs invoqués et motivés par le recourant.</w:t>
      </w:r>
    </w:p>
    <w:p>
      <w:r>
        <w:t>Il n'est pas nécessaire de trancher ici la question - controversée - de savoir si le recours formé contre une telle sentence doit satisfaire à l'exigence d'une valeur litigieuse minimale, auquel cas le présent recours serait d'emblée irrecevable puisqu'il a trait à un différend en matière de droit du travail dont la valeur litigieuse (13'150 fr.) n'atteint aucun des seuils fixés à l' art. 74 al. 1 LTF pour la recevabilité du recours en matière civile. En effet, pour les motifs indiqués ci-après, le recours est de toute façon voué à l'échec.</w:t>
      </w:r>
    </w:p>
    <w:p>
      <w:r>
        <w:rPr>
          <w:b/>
        </w:rPr>
        <w:t>E. 1.2</w:t>
      </w:r>
    </w:p>
    <w:p>
      <w:r>
        <w:t>Voie de droit extraordinaire et de nature cassatoire, le recours en matière civile dirigé contre une sentence arbitrale interne n'est recevable que pour les motifs limitativement énumérés à l' art. 393 CPC . Il est donc exclu de faire valoir, dans un tel recours, que la sentence viole le droit fédéral, au sens de l' art. 95 let. a LTF , qu'il s'agisse de la Constitution fédérale ou de la législation fédérale. De plus, le recours ne peut tendre, en principe, qu'à l'annulation - totale ( art. 395 al. 1 CPC ) ou partielle ( art. 395 al. 3 CPC ) - de la sentence ( art. 77 al. 2 LTF , qui exclut l'application de l' art. 107 al. 2 LTF dans la mesure où cette dernière disposition permet au Tribunal fédéral de statuer lui-même sur le fond de l'affaire; pour des exceptions à ce principe, cf. l' art. 395 al. 4 CPC ainsi que,</w:t>
      </w:r>
    </w:p>
    <w:p>
      <w:r>
        <w:t>mutatis mutandis , l' ATF 136 III 605 consid. 3.3.4 p. 616 au sujet des problèmes de compétence et de récusation). Toute autre conclusion est irrecevable.</w:t>
      </w:r>
    </w:p>
    <w:p>
      <w:r>
        <w:t>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restent valables sous l'empire du nouveau droit de procédure fédéral (arrêt 4A_205/2013 du 17 juin 2013 consid. 2.1 et les précédents cités).</w:t>
      </w:r>
    </w:p>
    <w:p>
      <w:r>
        <w:rPr>
          <w:b/>
        </w:rPr>
        <w:t>E. 1.3</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CA.</w:t>
      </w:r>
    </w:p>
    <w:p>
      <w:r>
        <w:t>Selon la jurisprudence relative à l' art. 36 let . f CA, qui conserve toute sa valeur sous l'empire du CPC (arrêt 4A_374/2011 du 1er septembre 2011 consid. 2.3),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confirmé par l'arrêt 4A_439 et 457/2012 du 8 mai 2013 consid. 4.1). En d'autres termes, l'erreur sanctionnée autrefois par l' art. 36 let . f CA et aujourd'hui par l' art. 393 let . e CPC s'apparente davantage à la notion d'inadvertance manifeste qu'utilisait l'art. 63 al. 2 de loi fédérale d'organisation judiciaire du 16 décembre 1943 (pour la définition de cette notion, cf. ATF 115 II 399 consid. 2a) qu'à celle d'établissement des faits de façon manifestement inexacte qui figure à l' art. 105 al. 2 LTF et qui correspond à l'arbitraire ( ATF 137 I 58 consid. 4.1.2).</w:t>
      </w:r>
    </w:p>
    <w:p>
      <w:r>
        <w:t>L'arbitraire proscrit par l' art. 393 let . e CPC découle aussi du fait que la sentence arbitrale constitue une violation manifeste du droit. Seul le droit matériel est visé, à l'exclusion du droit de procédure. Demeurent réservées, par analogie avec la jurisprudence relative à l' art. 190 al. 2 let . e LDIP, les fautes de procédure qui portent atteinte à l'ordre public procédural (arrêt 4A_117/2014 du 23 juillet 2014 consid. 3.1 et le précédent cité).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w:t>
      </w:r>
    </w:p>
    <w:p>
      <w:r>
        <w:t>Quant à la violation manifeste de l'équité, sanctionnée par la même disposition, elle suppose que le tribunal arbitral a été autorisé à statuer en équité ou qu'il a appliqué une norme renvoyant à l'équité (arrêt 4A_439/2012 du 8 mai 2013 consid. 4.1).</w:t>
      </w:r>
    </w:p>
    <w:p>
      <w:r>
        <w:t>Encore faut-il, dans les hypothèses évoquées ci-dessus, que la violation avérée ait rendu la sentence arbitraire dans son résultat, comme le précise expressément la disposition citée.</w:t>
      </w:r>
    </w:p>
    <w:p>
      <w:r>
        <w:rPr>
          <w:b/>
        </w:rPr>
        <w:t>E. 2</w:t>
      </w:r>
    </w:p>
    <w:p>
      <w:r>
        <w:t>Bien qu'elle se réfère expressément à la jurisprudence relative à l' art. 393 let . e CPC, telle qu'elle vient d'être rappelée, la recourante ne s'y conforme pas dans l'application au cas concret des principes posés par le Tribunal fédéral.</w:t>
      </w:r>
    </w:p>
    <w:p>
      <w:r>
        <w:rPr>
          <w:b/>
        </w:rPr>
        <w:t>E. 2.1</w:t>
      </w:r>
    </w:p>
    <w:p>
      <w:r>
        <w:t>Dans une première partie, intitulée "EN FAIT", l'intéressée commence par reproduire in extenso les constatations ressortant de la sentence attaquée (recours, n. 1 à 21). Il s'agit là d'un rappel superflu.</w:t>
      </w:r>
    </w:p>
    <w:p>
      <w:r>
        <w:rPr>
          <w:b/>
        </w:rPr>
        <w:t>E. 2.2</w:t>
      </w:r>
    </w:p>
    <w:p>
      <w:r>
        <w:t>La recourante reproche ensuite à la Chambre d'avoir écarté arbitrairement un certain nombre de faits dont elle aurait dû tenir compte en examinant le processus d'affiliation de l'entreprise à D.________, le contrôle de chantier du 9 novembre 2011 ou encore la période postérieure à ce contrôle et la procédure diligentée par la CPSO (recours, n. 22 à 52). Cependant, elle le fait de manière purement appellatoire, au moyen d'une série d'allégations et de renvois aux pièces qu'elle a produites en annexe à son mémoire. Il n'appert nullement de sa démonstration que telle ou telle constatation figurant dans la sentence serait contredite par une pièce déterminée versée au dossier de l'arbitrage. L'intéressée confond, de toute évidence, la notion d'inadvertance manifeste avec celle d'appréciation arbitraire des preuves. Or, cette dernière notion n'est pas constitutive d'un grief recevable dans un recours en matière civile dirigé contre une sentence interne. Point n'est, dès lors, besoin d'examiner plus avant ce chapitre du mémoire de recours.</w:t>
      </w:r>
    </w:p>
    <w:p>
      <w:r>
        <w:rPr>
          <w:b/>
        </w:rPr>
        <w:t>E. 2.3</w:t>
      </w:r>
    </w:p>
    <w:p>
      <w:r>
        <w:t>Dans la partie juridique de son mémoire (p. 14 à 25), la recourante consacre de longs développements à la démonstration d'une prétendue contrariété manifeste des constatations de la Chambre avec les faits résultant du dossier (ch. 2.1, p. 14 à 20). Les remarques qui précèdent sont d'autant plus de mise ici que l'argumentation proposée par la recourante s'épuise en de vaines redites et ne consiste, une fois encore, qu'en une tentative vouée à l'échec de remettre en cause l'appréciation des preuves sur laquelle reposent les constatations faites par les arbitres. A cet égard, on citera, comme exemple type de ce procédé, le grief formulé par la recourante, à partir des différentes dates figurant sur les fiches d'enregistrement (recours, ch. 2.1.3, p. 18 à 20), en rapport avec la constatation déterminante de la Chambre voulant que l'entreprise n'ait pas établi avoir annoncé les deux ouvriers le 1er novembre 2011. Ces fiches d'enregistrement portent deux dates: sur celle qui concerne C.________ ont été apposées la date du 1er novembre 2011, de manière manuscrite, et la date du 7 février 2012, au moyen d'un timbre humide, la mention imprimée "janvier 2012" figurant au pied de la fiche en question; sur celle qui concerne B.________, établie sur un formulaire de "novembre 2007", on trouve également la date manuscrite du 1er novembre 2011 et un timbre humide portant la date du 13 février 2012. Les arbitres ont exposé l'essentiel des déclarations faites par les personnes entendues quant à la présence de ces deux dates sur les fiches d'enregistrement (sentence, n. 12 à 14), de même que la thèse soutenue à ce propos par la recourante (sentence, n. 15). Ils ont toutefois accordé la préférence aux déclarations, faites par D.________ dans une lettre du 11 août 2014 (sentence, n. 18), d'après lesquelles les fiches d'enregistrement lui étaient parvenues les 7 et 13 février 2012 (cf. ci-dessus, let. B., 3e §). Il s'agit là, à l'évidence, d'une conclusion de fait tirée d'une appréciation des preuves. Or, dans le passage précité de son mémoire, la recourante tente de démontrer que cette conclusion serait arbitraire au motif qu'elle ne tiendrait pas compte des déclarations faites par un témoin au sujet des dates litigieuses. Cette manière d'argumenter n'a rien à voir avec la dénonciation d'une éventuelle inadvertance manifeste imputable à la Chambre. Aussi bien, contrairement à ce que la recourante paraît vouloir insinuer, il n'est pas possible de se forger une opinion définitive quant à la date à retenir sur le vu du contenu des seules fiches d'enregistrement.</w:t>
      </w:r>
    </w:p>
    <w:p>
      <w:r>
        <w:t>La recourante se plaint, en outre, d'une violation arbitraire des art. 34 à 35, 47 al. 3 et 47 al. 4 CCT-SOR. Cependant, mis à part le fait qu'elle ne cite même pas le contenu de ces dispositions de la convention collective de travail entrant en ligne de compte en l'espèce et, par la force des choses, n'en précise pas les conditions d'application, ce qui rend déjà irrecevable toute son argumentation en la matière (cf. art. 77 al. 3 LTF ), elle s'écarte des constatations souveraines de la Chambre afin d'asseoir sa démonstration, ce qui n'est pas davantage admissible. Quoi qu'il en soit, ses explications ne suffisent nullement à établir la violation manifeste du droit imputée aux arbitres et encore moins l'arbitraire que comporterait la sentence dans son résultat.</w:t>
      </w:r>
    </w:p>
    <w:p>
      <w:r>
        <w:t>Si tant est qu'il soit recevable, le présent recours ne peut, dès lors, qu'être rejeté.</w:t>
      </w:r>
    </w:p>
    <w:p>
      <w:r>
        <w:rPr>
          <w:b/>
        </w:rPr>
        <w:t>E. 3</w:t>
      </w:r>
    </w:p>
    <w:p>
      <w:r>
        <w:t>La recourante, qui succombe, devra payer les frais de la procédure fédérale ( art. 66 al. 1 LTF ). En revanche, elle n'aura pas à verser de dépens à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