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4A_621/2019 vom 26. Februar 2020</w:t>
      </w:r>
    </w:p>
    <w:p>
      <w:r>
        <w:t>Bundesgericht, 2020-02-26, DE</w:t>
      </w:r>
    </w:p>
    <w:p>
      <w:r>
        <w:rPr>
          <w:b/>
        </w:rPr>
        <w:t xml:space="preserve">Quelle: </w:t>
      </w:r>
      <w:r>
        <w:t>https://mcp.opencaselaw.ch/entscheid/bger_4A_621_2019</w:t>
      </w:r>
    </w:p>
    <w:p>
      <w:r>
        <w:t>FR: TF 4A_621/2019 du 26 février 2020</w:t>
      </w:r>
    </w:p>
    <w:p>
      <w:r>
        <w:t>IT: TF 4A_621/2019 del 26 febbraio 2020</w:t>
      </w:r>
    </w:p>
    <w:p>
      <w:pPr>
        <w:pStyle w:val="Heading2"/>
      </w:pPr>
      <w:r>
        <w:t>Erwägungen</w:t>
      </w:r>
    </w:p>
    <w:p>
      <w:r>
        <w:rPr>
          <w:b/>
        </w:rPr>
        <w:t>E. 1.1</w:t>
      </w:r>
    </w:p>
    <w:p>
      <w:r>
        <w:t>Die Eintretensvoraussetzungen geben keinen Anlass zu Bemerkungen. Auf die Beschwerde ist - unter Vorbehalt einer genügenden Begründung (vgl. unten, Erwägung 2) - einzutreten.</w:t>
      </w:r>
    </w:p>
    <w:p>
      <w:r>
        <w:rPr>
          <w:b/>
        </w:rPr>
        <w:t>E. 1.2</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S. 346). Die Beschwerdeführerin reicht mit ihrer Beschwerde ein Schreiben der Beschwerdegegnerin vom 11. Juni 2019 an alle Mieter der Liegenschaft X.________ Weg in U.________ als neues Beweismittel ein. Das angefochtene Urteil erging am 11. November 2019, weshalb dieses Schreiben ein unechtes Novum darstellt. Die Beschwerdeführerin zeigt nicht auf, inwiefern die Voraussetzungen von Art. 99 Abs. 1 BGG erfüllt sein sollen. Das Schreiben hat unberücksichtigt zu bleiben.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erneuern, sondern mit ihrer Kritik an den als rechtsfehlerhaft erachteten Erwägungen der Vorinstanz ansetzen ( BGE 140 III 86 E. 2 S. 89,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3.1</w:t>
      </w:r>
    </w:p>
    <w:p>
      <w:r>
        <w:t>Der Mieter muss die Sache sorgfältig gebrauchen ( Art. 257f Abs. 1 OR ). Der Mieter einer unbeweglichen Sache muss auf Hausbewohner und Nachbarn Rücksicht nehmen ( Art. 257f Abs. 2 OR ). Verletzt der Mieter trotz schriftlicher Mahnung des Vermieters seine Pflicht zu Sorgfalt oder Rücksichtnahme weiter, so dass dem Vermieter oder den Hausbewohnern die Fortsetzung des Mietverhältnisses nicht mehr zuzumuten ist, so kann der Vermieter fristlos, bei Wohn- und Geschäftsräumen mit einer Frist von mindestens 30 Tagen auf Ende eines Monats kündigen ( Art. 257f Abs. 3 OR ). Der Vermieter von Wohn- oder Geschäftsräumen kann jedoch fristlos kündigen, wenn der Mieter vorsätzlich der Sache schweren Schaden zufügt ( Art. 257f Abs. 4 OR ).</w:t>
      </w:r>
    </w:p>
    <w:p>
      <w:r>
        <w:t>Die ausserordentliche Vermieterkündigung gemäss Art. 257f Abs. 3 OR setzt eine nach der schriftlichen Mahnung erfolgende erneute oder andauernde Pflichtverletzung des Mieters voraus, die eine gewisse objektive Schwere aufweist, so dass dem Vermieter die Fortsetzung des Mietverhältnisses nicht zuzumuten ist. Beim Entscheid über diese Frage handelt es sich um einen Ermessensentscheid im Sinne von Art. 4 ZGB , der nach ständiger Praxis vom Bundesgericht bloss mit Zurückhaltung geprüft wird. Das Bundesgericht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(Urteil 4A_647/2017 vom 7. März 2018 E. 3; vgl. allgemein BGE 130 III 28 E. 4.1 S. 32; 126 III 223 E. 4a S. 227 f.).</w:t>
      </w:r>
    </w:p>
    <w:p>
      <w:r>
        <w:rPr>
          <w:b/>
        </w:rPr>
        <w:t>E. 3.2</w:t>
      </w:r>
    </w:p>
    <w:p>
      <w:r>
        <w:t>Die Vorinstanz verwies weitgehend auf die Begründung der ersten Instanz. Diese stellte darauf ab, dass die Beschwerdeführerin sich mehrmals ungebührlich über das Privatleben anderer Hausbewohner geäussert habe, womit sie ihre Pflicht zu Sorgfalt und Rücksichtnahme verletzt habe. Spätestens mit dem Schreiben vom 30. November 2017 sei eine Abmahnung im Sinne von Art. 257f Abs. 3 OR erfolgt. Trotzdem habe die Beschwerdeführerin sich weiterhin unschicklich über andere Hausbewohner geäussert und die Durchsetzung der Hausordnung in die eigene Hand genommen. Damit habe sie abermals ihre Sorgfaltspflichten verletzt und die Unzumutbarkeit der Fortsetzung des Mietverhältnisses begründet. Die gesetzlichen Formen und Fristen für eine Kündigung gemäss Art. 257f Abs. 3 OR seien eingehalten und das Mietverhältnis somit per 28. Februar 2018 aufgelöst worden.</w:t>
      </w:r>
    </w:p>
    <w:p>
      <w:r>
        <w:rPr>
          <w:b/>
        </w:rPr>
        <w:t>E. 3.3</w:t>
      </w:r>
    </w:p>
    <w:p>
      <w:r>
        <w:t>Die Beschwerdeführerin wirft der Vorinstanz eine willkürliche Rechtsanwendung und einen Ermessensmissbrauch vor. Die Vorinstanz anerkenne, dass die Beschwerdeführerin gemäss Art. 259a Abs. 1 lit. a OR zu Recht die Beseitigung von Mängeln verlangt habe. Gleichzeitig werfe ihr die Vorinstanz mangelnde Toleranz vor. Allerdings bestehe nur dann ein Mangel, wenn das Mass der notwendigen Toleranz in einem Mietshaus überschritten sei. Daher leide das angefochtene Urteil an einem unlösbaren Widerspruch und verletze Art. 257f sowie Art. 259a Abs. 1 lit. a OR .</w:t>
      </w:r>
    </w:p>
    <w:p>
      <w:r>
        <w:t>Weiter rügt die Beschwerdeführerin eine unzureichende Verhältnismässigkeitsprüfung. Namentlich habe die Vorinstanz übergangen, dass sich der Beschwerdegegnerin neben der Kündigung andere Möglichkeiten zur Wiederherstellung des Hausfriedens geboten hätten, so zum Beispiel die Einführung eines Waschplans mit Weisungen zur Benutzung der Waschküche.</w:t>
      </w:r>
    </w:p>
    <w:p>
      <w:r>
        <w:rPr>
          <w:b/>
        </w:rPr>
        <w:t>E. 3.4</w:t>
      </w:r>
    </w:p>
    <w:p>
      <w:r>
        <w:t>Die Vorinstanzen erblickten im Verhalten der Beschwerdeführerin eine Sorgfaltspflichtverletzung, weil sie sich mehrmals in Privatangelegenheiten anderer Hausbewohner eingemischt und diesen Dummheit, Bequemlichkeit und fehlenden Menschenverstand zugeschrieben habe. Das Verhältnis zwischen der Beschwerdeführerin und der Beschwerdegegnerin sowie den anderen Hausbewohnern sei seit längerer Zeit zerrüttet gewesen. Zwar sei die Hausordnung grundsätzlich durchzusetzen, doch seien die Verhaltensweisen der Beschwerdeführerin über die Geltendmachung von Mängeln hinausgegangen. Ausschlaggebend sei die Gesamtheit der Handlungen der Beschwerdeführerin. Selbst wenn ein mögliches Fehlverhalten der anderen Hausbewohner vorgelegen haben sollte, indem die Hausordnung nicht pedantisch eingehalten worden sei, rechtfertige dies nicht das Vorgehen der Beschwerdeführerin, deren Meldungen das ordentliche Mass allfälliger Mangelrügen klar überschritten hätten.</w:t>
      </w:r>
    </w:p>
    <w:p>
      <w:r>
        <w:rPr>
          <w:b/>
        </w:rPr>
        <w:t>E. 3.5</w:t>
      </w:r>
    </w:p>
    <w:p>
      <w:r>
        <w:t>Wo die Beschwerdeführerin rügt, sie habe bloss auf tatsächlich bestehende Mängel hingewiesen, geht sie über einen entscheidenden Punkt hinweg. Denn beide Vorinstanzen erwogen, dass es ihre übermässigen Kontrollen und das aggressive Vorgehen waren, welche das Mietverhältnis unzumutbar machten. So habe die Beschwerdeführerin die Durchsetzung der Hausordnung zuweilen selbst in die Hand genommen. Insoweit sie angebliche Verstösse gegen die Hausordnung meldete, habe sie jeweils - trotz schriftlicher Abmahnung - zusammenhangslos und diffamierend auch über den Zivilstand und das Privatleben der anderen Hausbewohner berichtet. Die Beschwerdeführerin geht nicht auf die überzeugende Begründung der Vorinstanz ein, wonach ihr untragbares Verhalten in seiner Gesamtheit die notwendige Schwere erreichte, um die ausserordentliche Kündigung zu rechtfertigen, selbst wenn es in einzelnen Punkten lediglich um die Geltendmachung von Mängeln ging.</w:t>
      </w:r>
    </w:p>
    <w:p>
      <w:r>
        <w:rPr>
          <w:b/>
        </w:rPr>
        <w:t>E. 3.6</w:t>
      </w:r>
    </w:p>
    <w:p>
      <w:r>
        <w:t>Es kann keine Rede davon sein, dass die Vorinstanz Bundesrecht unrichtig angewandt oder ihr Ermessen missbraucht hätte, wenn sie vor diesem Hintergrund den Verbleib der Beschwerdeführerin im Mietobjekt für die übrigen Hausbewohner als untragbar erachtete. Das Bundesgericht hat somit keinen Anlass einzugreifen.</w:t>
      </w:r>
    </w:p>
    <w:p>
      <w:r>
        <w:rPr>
          <w:b/>
        </w:rPr>
        <w:t>E. 4</w:t>
      </w:r>
    </w:p>
    <w:p>
      <w:r>
        <w:t>Bei diesem Ausgang erübrigt es sich, auf das Eventualbegehren der Beschwerdeführerin einzugehen, wonach das Mietverhältnis um drei Jahre zu erstrecken sei. Denn die Erstreckung ist ausgeschlossen bei Kündigungen wegen schwerer Verletzung der Pflicht des Mieters zu Sorgfalt und Rücksichtnahme ( Art. 272a Abs. 1 lit. b OR ).</w:t>
      </w:r>
    </w:p>
    <w:p>
      <w:r>
        <w:rPr>
          <w:b/>
        </w:rPr>
        <w:t>E. 5</w:t>
      </w:r>
    </w:p>
    <w:p>
      <w:r>
        <w:t>Die beantragte Neuregelung der Prozesskosten des kantonalen Verfahrens begründet die Beschwerdeführerin allein mit der Gutheissung ihrer Beschwerde. Damit hat es sein Bewenden.</w:t>
      </w:r>
    </w:p>
    <w:p>
      <w:r>
        <w:rPr>
          <w:b/>
        </w:rPr>
        <w:t>E. 6</w:t>
      </w:r>
    </w:p>
    <w:p>
      <w:r>
        <w:t>Nach dem Gesagten ist die Beschwerde abzuweisen, soweit auf sie eingetreten werden kann. Das Gesuch um unentgeltliche Rechtspflege für das bundesgerichtliche Verfahren ist abzuweisen, weil die Beschwerde als von vornherein aussichtslos erschien ( Art. 64 Abs. 1 BGG ). Darüber musste unter den gegebenen Umständen nicht vorgängig separat entschieden werden (vgl. Urteile 4A_429/2019 vom 13. November 2019 E. 6; 4A_20/2011 vom 11. April 2011 E. 7.2.2). Bei diesem Ausgang sind die Gerichtskosten der Beschwerdeführerin aufzuerlegen ( Art. 66 Abs. 1 BGG ).</w:t>
      </w:r>
    </w:p>
    <w:p>
      <w:r>
        <w:t>Der Beschwerdegegnerin, die sich nur zum Gesuch um aufschiebende Wirkung zu äussern hatte und dagegen keine Einwendungen erhob, ist kein zu entschädigender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