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4A_621/2018 vom 7. Oktober 2019</w:t>
      </w:r>
    </w:p>
    <w:p>
      <w:r>
        <w:t>Bundesgericht, 2019-10-07, IT</w:t>
      </w:r>
    </w:p>
    <w:p>
      <w:r>
        <w:rPr>
          <w:b/>
        </w:rPr>
        <w:t xml:space="preserve">Quelle: </w:t>
      </w:r>
      <w:r>
        <w:t>https://mcp.opencaselaw.ch/entscheid/bger_4A_621_2018</w:t>
      </w:r>
    </w:p>
    <w:p>
      <w:r>
        <w:t>FR: TF 4A_621/2018 du 7 octobre 2019</w:t>
      </w:r>
    </w:p>
    <w:p>
      <w:r>
        <w:t>IT: TF 4A_621/2018 del 7 ottobre 2019</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in linea di principio ammissibile.</w:t>
      </w:r>
    </w:p>
    <w:p>
      <w:r>
        <w:rPr>
          <w:b/>
        </w:rPr>
        <w:t>E. 2</w:t>
      </w:r>
    </w:p>
    <w:p>
      <w:r>
        <w:t>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3</w:t>
      </w:r>
    </w:p>
    <w:p>
      <w:r>
        <w:t>Nella sentenza impugnata sono state considerate irricevibili alcune parti dell'appello in cui la convenuta si era perlopiù limitata a riproporre quanto esposto innanzi al Pretore e a trascrivere le sue conclusioni. La ricorrente, che lamenta una violazione dell' art. 311 CPC , asserisce invece che anche tali sezioni dell'appello contengono delle critiche al giudizio pretorile e " ritiene che la sua posizione meriti di essere vagliata senza limiti formali di sorta ". Ora, la questione non merita disamina perché il tema del quantum della pretesa di regresso, che la ricorrente afferma di aver sollevato nella sezione 11.3 dell'appello, è stato oggetto del consid. 7 della sentenza impugnata, mentre per il resto il ricorso non precisa gli argomenti che non sarebbero stati trattati dall'autorità inferiore.</w:t>
      </w:r>
    </w:p>
    <w:p>
      <w:r>
        <w:rPr>
          <w:b/>
        </w:rPr>
        <w:t>E. 4.1</w:t>
      </w:r>
    </w:p>
    <w:p>
      <w:r>
        <w:t>La Corte cantonale ha accertato che i committenti e l'attrice avevano notificato alla convenuta nel corso del 2010/2011 diversi difetti che quest'ultima ha parzialmente eliminato. Non sono invece stati risolti i problemi concernenti il tetto (condensa, perdita d'acqua e formazione di ghiaccio). Per quanto attiene a tali questioni la convenuta ha dapprima comunicato, il 5 maggio 2011, che il tetto sarebbe " stato eseguito a regola d'arte ", di avere tuttavia " provveduto ad aumentare l'aerazione del colmo " e che il problema " avrebbe dovuto esaurirsi in 1-2 anni ", essendo dovuto " allo sfogo di umidità residua rimasta all'interno dei muri perimetrali ". Dopo lo scambio di numerose lettere l'attrice ha fissato il 16 ottobre 2012 alla convenuta un termine di 15 giorni per eliminare i difetti del tetto, minacciando di altrimenti procedere al pagamento della garanzia. Il 31 ottobre 2012 la convenuta ha scritto di voler " provvedere alla sistemazione dei difetti ". Il 2 novembre 2012 l'attrice le ha quindi chiesto di indicare la data prevista per la riparazione, prorogando il termine fino al 12 novembre 2012, con l'avvertenza che, qualora tale scadenza fosse decorsa infruttuosamente, avrebbe effettuato il pagamento. La convenuta le ha risposto con scritto 9 novembre 2012, chiedendo un incontro " per pianificare le modalità e le tempistiche degli interventi ". La Corte cantonale termina indicando che tale invito è stato rinnovato con scritto 20 novembre 2012 dell'allora patrocinatore della convenuta e legittimamente rifiutato dai committenti, " poiché alla pretesa di ripristino era subentrata quella di pagamento di denaro ".</w:t>
      </w:r>
    </w:p>
    <w:p>
      <w:r>
        <w:rPr>
          <w:b/>
        </w:rPr>
        <w:t>E. 4.2</w:t>
      </w:r>
    </w:p>
    <w:p>
      <w:r>
        <w:t>La ricorrente si lagna di una " lettura arbitraria del fascicolo processuale " e sostiene che i committenti erano in mora, come risulterebbe dalla deposizione del teste F.________, il quale ha confermato la disponibilità a operare, ma che " non è stato concesso l'intervento da parte dei residenti ". Afferma che lo scritto che ha inviato il 9 novembre 2012 sarebbe peraltro conforme agli " usi vigenti nell'edilizia, segnatamente laddove un intervento implica l'uscita di casa degli interessati (fatto notorio) ". Ritiene poi che, avendo esternato la volontà di sistemare il tetto dell'edificio, l'opponente avrebbe dovuto convincere i committenti ad accettare la proposta o almeno opporre loro giusta l' art. 502 CO la mora in cui si trovavano, invece di semplicemente assecondarli e pagare.</w:t>
      </w:r>
    </w:p>
    <w:p>
      <w:r>
        <w:t>In concreto giova dapprima rilevare che la ricorrente non contesta l'impostazione giuridica della causa, contenuta nel giudizio pretorile e sulla quale la sentenza impugnata si fonda implicitamente, secondo cui la data del 12 novembre 2012 costituiva un congruo termine per l'adempimento nel senso dell' art. 107 CO che, in caso di infruttuosa decadenza, avrebbe permesso ai committenti di rinunciare alla riparazione e avanzare una pretesa compensatoria di risarcimento danni. Occorre poi osservare che la Corte cantonale ha esplicitamente indicato che dalla testimonianza F.________ non emerge che il rifiuto dei committenti ad acconsentire a una riparazione sia avvenuto prima dello scadere del predetto termine. Citando la menzionata deposizione e affermando che sarebbe invece palese che il diniego dei committenti fosse precedente al 2 novembre 2012, la ricorrente non formula alcuna ammissibile critica (v. sulle esigenze di motivazione di una tale censura supra consid. 2) nei confronti della constatazione dei Giudici cantonali secondo cui essa non ha dimostrato che la mancata riparazione dei difetti del tetto fosse dovuta al fatto che la prestazione in natura non era stata accettata quando il termine assegnato per effettuarla ancora correva. Ne segue che l'argomentazione ricorsuale attinente a una violazione dell' art. 502 CO è infondata, perché non è stata provata alcuna mora dei committenti e perché tale norma non impone al fideiussore di spalleggiare un debitore principale inadempiente.</w:t>
      </w:r>
    </w:p>
    <w:p>
      <w:r>
        <w:rPr>
          <w:b/>
        </w:rPr>
        <w:t>E. 5.1</w:t>
      </w:r>
    </w:p>
    <w:p>
      <w:r>
        <w:t>La Corte cantonale ha ritenuto che il 16 ottobre 2012 l'attrice ha esplicitamente comunicato alla convenuta l'importo preventivato per il rifacimento del tetto. Poiché questa non ha reagito con riferimento al valore delle opere, ha considerato che l'attrice poteva in buona fede ritenere che il preventivo fosse corretto e proporzionato ai difetti, ricordato che il debitore principale ha l'obbligo di portare a conoscenza del fideiussore le eccezioni liberatorie.</w:t>
      </w:r>
    </w:p>
    <w:p>
      <w:r>
        <w:rPr>
          <w:b/>
        </w:rPr>
        <w:t>E. 5.2</w:t>
      </w:r>
    </w:p>
    <w:p>
      <w:r>
        <w:t>La ricorrente lamenta che non vi è alcuna " prova del quantum della rivendicazione " e afferma che il suo silenzio non ha comportato accettazione. Sostiene che l'opponente avrebbe dovuto chiedere maggiori indicazioni, atteso segnatamente che " tutto il materiale è stato raccolto e redatto senza " minimamente coinvolgerla, e contesta l'attendibilità del preventivo ritenuto troppo elevato.</w:t>
      </w:r>
    </w:p>
    <w:p>
      <w:r>
        <w:rPr>
          <w:b/>
        </w:rPr>
        <w:t>E. 5.3</w:t>
      </w:r>
    </w:p>
    <w:p>
      <w:r>
        <w:t>In concreto la ricorrente si prevale inammissibilmente di una fattispecie che non risulta dalla sentenza impugnata senza che siano dati i presupposti per scostarsene (v. supra, consid. 2). Per il resto basta rilevare che la Corte cantonale non ha violato il diritto federale, ritenendo che la qui ricorrente, qualora avesse reputato troppo elevato l'ammontare comunicatole, avrebbe dovuto reagire all'avviso e che la sua passività non ha per conseguenza la perdita del diritto di regresso del fideiussore. Il ricorso si rivela infine inammissibile per quanto riguarda " le poste accessorie " riconosciute all'opponente: la stessa ricorrente indica infatti che esse non sono state trattate nella sentenza impugnata, ma nemmeno afferma di averle contestate nel suo appello.</w:t>
      </w:r>
    </w:p>
    <w:p>
      <w:r>
        <w:rPr>
          <w:b/>
        </w:rPr>
        <w:t>E. 6</w:t>
      </w:r>
    </w:p>
    <w:p>
      <w:r>
        <w:t>Da quanto precede discende che il ricorso si palesa, nella misura in cui è ammissibile, infondato e come tale va respinto. Le spese giudiziarie seguono la soccombenza ( art. 66 cpv. 1 LTF ), mentre non si giustifica assegnare ripetibili all'opponente che, non essendo stata invitata a presentare una risposta,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