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619/2011 vom 20. März 2012</w:t>
      </w:r>
    </w:p>
    <w:p>
      <w:r>
        <w:t>Bundesgericht, 2012-03-20, DE</w:t>
      </w:r>
    </w:p>
    <w:p>
      <w:r>
        <w:rPr>
          <w:b/>
        </w:rPr>
        <w:t xml:space="preserve">Quelle: </w:t>
      </w:r>
      <w:r>
        <w:t>https://mcp.opencaselaw.ch/entscheid/bger_4A_619_2011</w:t>
      </w:r>
    </w:p>
    <w:p>
      <w:r>
        <w:t>FR: TF 4A 619/2011 du 20 mars 2012</w:t>
      </w:r>
    </w:p>
    <w:p>
      <w:r>
        <w:t>IT: TF 4A 619/2011 del 20 marzo 2012</w:t>
      </w:r>
    </w:p>
    <w:p>
      <w:pPr>
        <w:pStyle w:val="Heading2"/>
      </w:pPr>
      <w:r>
        <w:t>Regeste</w:t>
      </w:r>
    </w:p>
    <w:p>
      <w:r>
        <w:t>Gesellschaftsvertrag; Abrechnungsbegehren | Gesellschaftsrecht</w:t>
      </w:r>
    </w:p>
    <w:p>
      <w:pPr>
        <w:pStyle w:val="Heading2"/>
      </w:pPr>
      <w:r>
        <w:t>Erwägungen</w:t>
      </w:r>
    </w:p>
    <w:p>
      <w:r>
        <w:rPr>
          <w:b/>
        </w:rPr>
        <w:t>E. 1</w:t>
      </w:r>
    </w:p>
    <w:p>
      <w:r>
        <w:t>Gegen die Abweisung des Abrechnungsbegehrens einer Stufenklage ist die Beschwerde in Zivilsachen zulässig (CORBOZ, in: Commentaire de la LTF, Corboz/Wurzburger/Ferrari/Frésard/Aubry Girardin [Hrsg], 2009 N. 17 zu Art. 91 BGG ; UHLMANN, in: Basler Kommentar Bundesgerichtsgesetz, 2. Aufl. 2011, N. 11 f. zu Art. 91 BGG ; vgl. zum OG auch BGE 123 III 140 E. 2a S. 141). Auf die Beschwerde ist daher grundsätzlich einzutreten.</w:t>
      </w:r>
    </w:p>
    <w:p>
      <w:r>
        <w:rPr>
          <w:b/>
        </w:rPr>
        <w:t>E. 1.1</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134 II 235 E. 4.3.4 S. 241). Immerhin prüft das Bundesgericht, unter Berücksichtigung der allgemeinen Begründungspflicht der Beschwerde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135 III 397 E. 1.4 S. 400; 134 III 102 E. 1.1 S. 105).</w:t>
      </w:r>
    </w:p>
    <w:p>
      <w:r>
        <w:rPr>
          <w:b/>
        </w:rPr>
        <w:t>E. 1.2</w:t>
      </w:r>
    </w:p>
    <w:p>
      <w:r>
        <w:t>Nach Art. 42 Abs. 2 BGG ist in der Beschwerdeschrift in gedrängter Form darzulegen, inwiefern der angefochtene Akt Recht verletzt. Unbeachtlich sind blosse Verweise auf die Akten; inwiefern das angefochtene Urteil Recht verletzt, ist in der Rechtsschrift selbst darzulegen ( BGE 133 II 396 E. 3.1 S. 399 f. mit Hinweisen). Auch soweit das Bundesgericht das Recht von Amtes wegen anwendet ( Art. 106 BGG ), ist unerlässlich, dass auf die Begründung des angefochtenen Urteils eingegangen und im Einzelnen dargetan wird, worin eine Verletzung von Bundesrecht liegen soll ( BGE 134 II 244 E. 2.1 S. 246; 134 V 53 E. 3.3 S. 60; 133 IV 286 E. 1.4 S. 287).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Soweit eine Verletzung von Grundrechten und kantonalem oder interkantonalem Recht geltend gemacht wird, findet der Grundsatz der Rechtsanwendung von Amtes wegen keine Anwendung, sondern es gilt das Rügeprinzip ( Art. 106 Abs. 2 BGG ). Es ist im Einzelnen darzulegen, inwiefern verfassungsmässige Rechte missachtet wurden oder der Entscheid offensichtlich unhaltbar ist. Das Gericht untersucht den angefochtenen Entscheid nicht von sich aus umfassend auf seine Verfassungsmässigkeit, sondern beschränkt sich auf die Prüfung der in der Beschwerde rechtsgenüglich vorgebrachten Rügen ( BGE 133 III 393 E. 6 S. 397 mit Hinweis).</w:t>
      </w:r>
    </w:p>
    <w:p>
      <w:r>
        <w:rPr>
          <w:b/>
        </w:rPr>
        <w:t>E. 1.3</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nach Massgabe von Art. 106 Abs. 2 BGG zu begründen.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II 249 E. 1.4.3 S. 254 f. mit Hinweisen).</w:t>
      </w:r>
    </w:p>
    <w:p>
      <w:r>
        <w:rPr>
          <w:b/>
        </w:rPr>
        <w:t>E. 1.4</w:t>
      </w:r>
    </w:p>
    <w:p>
      <w:r>
        <w:t>Die dargelegten Begründungsanforderungen gelten auch für die Beschwerdeantwort, wenn darin Erwägungen der Vorinstanz beanstandet werden, die sich für die im kantonalen Verfahren obsiegende Partei ungünstig auswirken können (Urteile des Bundesgerichts 4A_438/2010 vom 15. November 2010 E. 1.2 in fine, nicht publ. in: BGE 136 III 545 ; 4A_347/2009 vom 16. November 2009 E. 4.1 in fine, nicht publ. in: BGE 136 III 96 ).</w:t>
      </w:r>
    </w:p>
    <w:p>
      <w:r>
        <w:rPr>
          <w:b/>
        </w:rPr>
        <w:t>E. 2</w:t>
      </w:r>
    </w:p>
    <w:p>
      <w:r>
        <w:t>Die dargelegten Grundsätze missachtet insbesondere der Beschwerdegegner in seiner Beschwerdeantwort, in der er das angefochtene Urteil seinerseits in diversen Punkten beanstandet.</w:t>
      </w:r>
    </w:p>
    <w:p>
      <w:r>
        <w:rPr>
          <w:b/>
        </w:rPr>
        <w:t>E. 2.1</w:t>
      </w:r>
    </w:p>
    <w:p>
      <w:r>
        <w:t>Der Beschwerdegegner beschränkt sich in der Beschwerdeantwort im Wesentlichen darauf, seine Vorbringen aus dem kantonalen Verfahren zu wiederholen, so wenn er die Beweiswürdigung der Vorinstanz zur Frage, ob das Konsortium noch bestehe, kritisiert. Oft begnügt er sich gar mit einem blossen Verweis auf seine kantonalen Rechtsschriften. Derartige Vorbringen können nicht berücksichtigt werden.</w:t>
      </w:r>
    </w:p>
    <w:p>
      <w:r>
        <w:rPr>
          <w:b/>
        </w:rPr>
        <w:t>E. 2.2</w:t>
      </w:r>
    </w:p>
    <w:p>
      <w:r>
        <w:t>Mitunter fehlt auch jegliche Auseinandersetzung mit den Entscheiden der Vorinstanz, so beispielsweise, wenn der Beschwerdegegner die Nichtigkeit der getroffenen Vereinbarungen zufolge Steuerhinterziehung behauptet. Dasselbe gilt, soweit er die Aktivlegitimation der Beschwerdeführer in Abrede stellt und geltend macht, bei der Annahme des Fortbestands der Gesellschaft hätte auf Leistung an die Gesellschaft geklagt werden müssen. Zu diesen Themen hatte sich die Vorinstanz bereits in ihrem Rückweisungsentscheid geäussert, mit dem sich der Beschwerdegegner nicht hinreichend auseinandersetzt. Die Vorinstanz hat im Einzelnen ausgeführt, weshalb keine Nichtigkeit infolge Steuerumgehung gegeben sei. Sie hat mit Hinweis auf die nach ihrer Auffassung analoge Situation bei einer Erbengemeinschaft dargelegt, weshalb die Beschwerdeführer Leistung an sich selbst statt an die einfache Gesellschaft verlangen durften und ihre Aktivlegitimation zu bejahen sei. Auf diese Begründung geht der Beschwerdegegner nicht ein, sondern wiederholt seinen bereits im kantonalen Verfahren eingenommenen Standpunkt. Damit genügt er den Mindestanforderungen an die Begründung ( Art. 42 Abs. 2 BGG ) nicht, weshalb der angefochtene Entscheid in diesen Punkten nicht zu überprüfen ist.</w:t>
      </w:r>
    </w:p>
    <w:p>
      <w:r>
        <w:rPr>
          <w:b/>
        </w:rPr>
        <w:t>E. 3</w:t>
      </w:r>
    </w:p>
    <w:p>
      <w:r>
        <w:t>Zur Abweisung des Abrechnungsanspruchs hält die Vorinstanz fest, die von den Beschwerdeführern eingeklagten Ansprüche bestünden nicht. Andererseits führt sie aus, das Bezirksgericht habe darüber noch nicht entschieden, weshalb sie selbst Ziff. 2 des Rechtsbegehrens nicht entscheiden könne. Damit besteht bereits bezüglich der für das angefochtene Urteil massgebenden Gründe tatsächlicher und rechtlicher Art ( Art. 112 Abs. 1 lit. b BGG ) ein innerer Widerspruch, nimmt die Vorinstanz doch einerseits an, die eingeklagten Ansprüche bestünden nicht, während sie andererseits feststellt, sie könne selbst nicht über das entsprechende Klagebegehren entscheiden, da die zuständige Instanz noch nicht entschieden habe. Aber auch davon abgesehen vermag das angefochtene Urteil nicht zu überzeugen:</w:t>
      </w:r>
    </w:p>
    <w:p>
      <w:r>
        <w:rPr>
          <w:b/>
        </w:rPr>
        <w:t>E. 3.1</w:t>
      </w:r>
    </w:p>
    <w:p>
      <w:r>
        <w:t>Die Vorinstanz ging in Würdigung der Beweise davon aus, die Parteien hätten sich nachträglich abweichend vom Gesellschaftsvertrag vom 29. Juni 1993 darauf geeinigt, das Grundstück werde direkt vom Kanton Zürich als Bauprojektinteressenten gekauft, mit welchem die vom Beschwerdegegner beherrschte Aktiengesellschaft einen GU-Vertrag betreffend die Erstellung der Überbauung abschliesse. Mit diesem Vorgehen bei der Realisierung des Gesellschaftszwecks seien die Konsortialpartner einverstanden gewesen. Damit sei der Gesellschaftszweck nicht unmöglich geworden, sondern realisiert worden. Der Beschwerdegegner kritisiert in der Beschwerdeantwort diese Beweiswürdigung, beschränkt sich aber im Wesentlichen darauf, der Beweiswürdigung der Vorinstanz seine eigene abweichende Meinung entgegenzusetzen. Willkür lässt sich so nicht aufzeigen, so dass entsprechend dem angefochtenen Urteil davon auszugehen ist, die Erreichung des Gesellschaftszwecks sei nicht unmöglich geworden.</w:t>
      </w:r>
    </w:p>
    <w:p>
      <w:r>
        <w:rPr>
          <w:b/>
        </w:rPr>
        <w:t>E. 3.2</w:t>
      </w:r>
    </w:p>
    <w:p>
      <w:r>
        <w:t>Die Vorinstanz legte den Inhalt des Gesellschaftsvertrages vom 29. Juni 1993 nach dem Vertrauensprinzip aus. Sie ging davon aus, bei den in Ziff. 4.1.2 und 6.1 getroffenen Zusicherungen des Verhaltens der vom Beschwerdegegner beherrschten Aktiengesellschaft handle es sich um Garantieversprechen ( Art. 111 OR ). Sodann prüfte sie, ob der Beschwerdegegner auch die Herausgabe des Gewinns aus dem GU-Vertrages durch die Aktiengesellschaft garantiert habe. Sie stützte sich dabei zunächst auf den Wortlaut, der keine Herausgabepflicht erwähne. Sie schloss, im Zeitpunkt des Vertragsschlusses habe der Beschwerdegegner nach Treu und Glauben nicht garantiert, die Aktiengesellschaft werde für den damals noch gar nicht aktuellen Fall, dass sie direkt einen GU-Vertrag abschliesse, den diesfalls bei ihr anfallenden Konsortialgewinn herausgeben. Das sei damals kein Thema gewesen.</w:t>
      </w:r>
    </w:p>
    <w:p>
      <w:r>
        <w:rPr>
          <w:b/>
        </w:rPr>
        <w:t>E. 3.3</w:t>
      </w:r>
    </w:p>
    <w:p>
      <w:r>
        <w:t>Sodann prüfte die Vorinstanz, ob das Garantieversprechen nachfolgend angepasst wurde. Sie hielt fest, der konkrete Inhalt der Besprechungen, an denen vereinbart worden sei, das Geschäft derart abzuwickeln, dass der Kanton Zürich das Grundstück direkt kaufe, habe nicht erstellt werden können. Es werde wohl schon so gewesen sein, dass die Konsortianten damals davon ausgingen, der nunmehr bei der Aktiengesellschaft anfallende Mehrerlös sei auf sie zu verteilen. Jedoch könne nicht mehr erstellt werden, was die Parteien bezüglich der Tatsache, wie denn der nunmehr bei der Aktiengesellschaft anfallende Gewinn ins Konsortium respektive zu den Konsortianten gelangen sollte, vereinbart hatten. Möglich seien verschiedene Varianten: So beispielsweise das von den Beschwerdeführern zunächst genannte Konstrukt, die Aktiengesellschaft trete als indirekte Stellvertreterin des Konsortiums auf (diesbezüglich bestünde der Anspruch gegenüber der Aktiengesellschaft), oder eine Erweiterung des Garantieversprechens. Damit sei nicht erstellt, was die Parteien vereinbart hätten, respektive wovon sie nach Treu und Glauben hätten ausgehen dürfen, wie der Gewinn ins Konsortium fliessen solle. Dass sich die Beschwerdeführer in der Berufung selbst wieder darauf beriefen, die Konsortialpartner hätten beschlossen, die Aktiengesellschaft als deren indirekte Stellvertreterin im Rechtsverkehr mit der Liegenschaftsverwaltung des Kantons Zürich auftreten zu lassen, spreche dagegen, dass sie damals nach Treu und Glauben davon ausgegangen seien, der Beschwerdegegner habe sein Garantieversprechen erweitert. Die Beschwerdeführer hätten die Folgen der Beweislosigkeit zu tragen.</w:t>
      </w:r>
    </w:p>
    <w:p>
      <w:r>
        <w:rPr>
          <w:b/>
        </w:rPr>
        <w:t>E. 3.4</w:t>
      </w:r>
    </w:p>
    <w:p>
      <w:r>
        <w:t>Vertragsbezogene Willenserklärungen sind - wenn kein übereinstimmender tatsächlicher Parteiwille festgestellt werden kann - nach dem Vertrauensgrundsatz so auszulegen, wie sie vom Empfänger nach Treu und Glauben verstanden werden durften und mussten. Dies beurteilt sich nicht nur nach ihrem Wortlaut und dem gesamten Zusammenhang, in dem sie stehen, sondern auch nach den Umständen, die ihnen vorausgegangen und unter denen sie abgegeben worden sind. Massgebend ist der Zeitpunkt des Vertragsabschlusses. Nachträgliches Parteiverhalten ist bei der Auslegung nach dem Vertrauensprinzip nicht von Bedeutung; es kann höchstens - im Rahmen der Beweiswürdigung - auf einen tatsächlichen Willen der Parteien schliessen lassen ( BGE 132 III 626 E. 3.1 S. 632 mit Hinweisen). Bei der Vertragsauslegung hat der Richter zu berücksichtigen, was sachgerecht ist, weil nicht anzunehmen ist, dass die Parteien eine unangemessene Lösung gewollt haben ( BGE 122 III 420 E. 3a S. 424 mit Hinweisen). Zu welchem Ergebnis eine solche Auslegung führt, ist eine Frage der Rechtsanwendung, über welche das Bundesgericht frei entscheidet. Grundsätzlich gebunden ist es aber an die Feststellungen des kantonalen Gerichts über die Umstände des Vertragsschlusses und das Wissen der Vertragsparteien ( BGE 133 III 61 E. 2.2.1 S. 67 mit Hinweisen).</w:t>
      </w:r>
    </w:p>
    <w:p>
      <w:r>
        <w:rPr>
          <w:b/>
        </w:rPr>
        <w:t>E. 3.5</w:t>
      </w:r>
    </w:p>
    <w:p>
      <w:r>
        <w:t>Die Vorinstanz und auch die Parteien legen grossen Wert auf die Frage, wann der Beschwerdegegner welche Garantien abgegeben hat. Die Beschwerdeführer versuchen aufzuzeigen, dass die schliesslich verwirklichte Variante schon bei Abschluss der Vereinbarung als möglich angesehen wurde, weshalb sich die in der ursprünglichen Vereinbarung enthaltene Garantie auch auf das verwirklichte Projekt beziehe. Beide Parteien wie auch die Vorinstanz lassen den Zweck der getroffenen Regelung sowie die rechtlichen Gegebenheiten der einfachen Gesellschaft und des Garantievertrages ausser Acht. Ihre Ausführungen gehen daher über weite Strecken an der Sache vorbei.</w:t>
      </w:r>
    </w:p>
    <w:p>
      <w:r>
        <w:rPr>
          <w:b/>
        </w:rPr>
        <w:t>E. 3.6</w:t>
      </w:r>
    </w:p>
    <w:p>
      <w:r>
        <w:t>Die einfache Gesellschaft ist eine vertragsmässige Verbindung von zwei oder mehreren Personen zur Erreichung eines gemeinsamen Zweckes mit gemeinsamen Kräften oder Mitteln ( Art. 530 Abs. 1 OR ). Wesentlich ist dabei, dass die Gesellschafter das künftige Verhalten auf die Verfolgung des vereinbarten Zwecks ausrichten und die Verwirklichung der zum gemeinsamen Zweck verschmolzenen Interessen aller Gesellschafter fördern (FELLMANN/MÜLLER, Berner Kommentar, 2006, N. 65 zu Art. 530). Dazu hat jeder Gesellschafter einen Beitrag zu leisten ( Art. 531 OR ). Gleichzeitig darf kein Gesellschafter zu seinem besonderen Vorteil Geschäfte betreiben, durch die der Zweck der Gesellschaft vereitelt oder beeinträchtigt würde ( Art. 536 OR ). Daraus ergibt sich als zentraler Grundsatz des Gesellschaftsrechts eine besondere Treuepflicht der Gesellschafter (HANDSCHIN/VONZUN, Zürcher Kommentar, 2009, N. 187 zu Art. 530 OR ). Aus der Zweckförderungs- und Treupflicht folgt, dass die Gesellschafter im Konflikt zwischen ihren persönlichen Interessen und den Interessen der Gesellschaft denjenigen der Gesellschaft den Vorzug zu geben haben, sofern der Konflikt in den Bereich der Zweckverfolgung fällt (HANDSCHIN/VONZUN, a.a.O., N. 1 zu Art. 536 OR ; FELLMANN/MÜLLER, a.a.O., N. 7 zu Art. 536).</w:t>
      </w:r>
    </w:p>
    <w:p>
      <w:r>
        <w:rPr>
          <w:b/>
        </w:rPr>
        <w:t>E. 3.7</w:t>
      </w:r>
    </w:p>
    <w:p>
      <w:r>
        <w:t>Die Gesellschafter regelten in Ziff. 4 des Gesellschaftsvertrages gemäss deren Titel die "Leistungen der drei Konsorten". In den darauffolgenden Bestimmungen (4.1.1 f.) werden aber Leistungen der von den Parteien beherrschten Aktiengesellschaften aufgeführt und auch bezüglich der gemäss Ziff. 4.1.3 vom Beschwerdeführer 1 primär persönlich zu erbringenden Baumeisterarbeiten wird alternativ die Leistungserbringung durch eine ihm nahestehende Firma vorgesehen. Die Vorinstanz hat denn auch bereits in ihrem Rückweisungsentscheid vom 6. Mai 2008 festgehalten, die Konsorten hielten "ihren" Firmen Aufträge zu bzw. bedienten sich zur Erfüllung der von ihnen eingegangen Verpflichtungen je der mit ihnen eng verbundenen Firmen. Ob diese Unternehmen vor diesem Hintergrund als eigentliche Hilfspersonen ( Art. 101 OR ) der sie beherrschenden Konsorten anzusehen sind, kann offen bleiben. Auf jeden Fall durften die Konsorten nach Treu und Glauben damit rechnen, ein Vertragspartner, der zur Erfüllung einer von ihm eingegangen Verpflichtungen ein mit ihm eng verbundenes oder gar von ihm beherrschtes Unternehmen beizieht, werde dafür besorgt sein, dass dieses bei der Erbringung der Leistung die im Gesellschaftsvertrag festgesetzten Modalitäten respektiere.</w:t>
      </w:r>
    </w:p>
    <w:p>
      <w:r>
        <w:rPr>
          <w:b/>
        </w:rPr>
        <w:t>E. 3.8</w:t>
      </w:r>
    </w:p>
    <w:p>
      <w:r>
        <w:t>Daran ändert sich auch mit der nachfolgenden Modifizierung der Projektrealisierung nichts, zumal auch die Vorinstanz davon ausging, der nunmehr bei der Aktiengesellschaft anfallende Mehrerlös sei wohl weiterhin auf die Konsorten zu verteilen. Wenn der Beschwerdegegner im Rahmen des veränderten Projekts die von ihm beherrschte Aktiengesellschaft zur Vertragserfüllung beizieht, hat er nach Treu und Glauben dafür zu sorgen, dass die Aktiengesellschaft die vorgesehene Gewinnverteilung respektiert. Da er die Aktiengesellschaft beherrscht, bestimmt er deren Willensbildung. Dass es ihm nicht möglich gewesen wäre, dafür zu sorgen, dass die Aktiengesellschaft über den erzielten Gewinn nach Massgabe von Ziff. 4.1.2 abrechnet, behauptet er nicht. Wenn er sich entscheidet, den mit dem Projekt erwirtschafteten Gewinn bei der Aktiengesellschaft zu belassen, statt diese zu veranlassen, unter Beanspruchung des ihr zustehenden GU-Honorars von 4 % gegenüber dem Konsortium abzurechnen, fördert er seine persönlichen Interessen zu Lasten derjenigen der einfachen Gesellschaft und vereitelt die Erzielung eines Gewinns durch das Konsortium, welche letztlich den Zweck der einfachen Gesellschaft bildet. Er verletzt mithin seine aus der Gesellschafterstellung fliessenden Pflichten und wird bereits deswegen schadenersatzpflichtig. Ob er eine eigentliche Garantie für die von der Aktiengesellschaft zu erbringende Leistung übernommen hat und damit auch ohne Verletzung seiner Pflichten als Gesellschafter haften würde (vgl. WEBER, Berner Kommentar, 2002, N. 151 zu Art. 111 OR ), kann damit offen bleiben. Für seine Haftung genügt, dass er sich nicht um die Leistung der Aktiengesellschaft bemüht hat (vgl. auch BGE 85 II 452 E. 2 S. 453 f.). Aus diesem Grunde nützt es dem Beschwerdegegner auch nichts, wenn er seine Passivlegitimation damit bestreitet, nicht er, sondern die Aktiengesellschaft habe die verlangte Abrechnung vorzunehmen. Denn er hat dafür zu sorgen, dass die entsprechende Abrechnung erfolgt.</w:t>
      </w:r>
    </w:p>
    <w:p>
      <w:r>
        <w:rPr>
          <w:b/>
        </w:rPr>
        <w:t>E. 4</w:t>
      </w:r>
    </w:p>
    <w:p>
      <w:r>
        <w:t>Nach dem Gesagten durften die Konsorten davon ausgehen, der Beschwerdegegner werde dafür sorgen, dass die Aktiengesellschaft vereinbarungsgemäss über den erzielten Gewinn mit dem Konsortium abrechne. Die Beschwerde erweist sich im Ergebnis als begründet. Der Beschwerdegegner ist antragsgemäss zur Abrechnung zu verpflichten, und die Sache ist an das Bezirksgericht zur Fortsetzung des Verfahrens zurückzuweisen. Die Vorinstanz wird über die Festsetzung der Prozesskosten des kantonalen Berufungsverfahrens neu zu befinden haben. Für das Verfahren vor Bundesgericht wird der Beschwerdegegner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