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618/2010 vom 7. März 2011</w:t>
      </w:r>
    </w:p>
    <w:p>
      <w:r>
        <w:t>Bundesgericht, 2011-03-07, DE</w:t>
      </w:r>
    </w:p>
    <w:p>
      <w:r>
        <w:rPr>
          <w:b/>
        </w:rPr>
        <w:t xml:space="preserve">Quelle: </w:t>
      </w:r>
      <w:r>
        <w:t>https://mcp.opencaselaw.ch/entscheid/bger_4A_618_2010</w:t>
      </w:r>
    </w:p>
    <w:p>
      <w:r>
        <w:t>FR: TF 4A 618/2010 du 7 mars 2011</w:t>
      </w:r>
    </w:p>
    <w:p>
      <w:r>
        <w:t>IT: TF 4A 618/2010 del 7 marzo 2011</w:t>
      </w:r>
    </w:p>
    <w:p>
      <w:pPr>
        <w:pStyle w:val="Heading2"/>
      </w:pPr>
      <w:r>
        <w:t>Regeste</w:t>
      </w:r>
    </w:p>
    <w:p>
      <w:r>
        <w:t>Feststellungsklage | Obligationenrecht (allgemein)</w:t>
      </w:r>
    </w:p>
    <w:p>
      <w:pPr>
        <w:pStyle w:val="Heading2"/>
      </w:pPr>
      <w:r>
        <w:t>Erwägungen</w:t>
      </w:r>
    </w:p>
    <w:p>
      <w:r>
        <w:rPr>
          <w:b/>
        </w:rPr>
        <w:t>E. 1</w:t>
      </w:r>
    </w:p>
    <w:p>
      <w:r>
        <w:t>Das Bundesgericht prüft von Amtes wegen und mit freier Kognition, ob ein Rechtsmittel zulässig ist ( BGE 135 III 1 E. 1.1).</w:t>
      </w:r>
    </w:p>
    <w:p>
      <w:r>
        <w:rPr>
          <w:b/>
        </w:rPr>
        <w:t>E. 1.1</w:t>
      </w:r>
    </w:p>
    <w:p>
      <w:r>
        <w:t>Gegenstand des Verfahrens bildet eine Zivilsache ( Art. 72 Abs. 1 BGG ); der massgebende Streitwert beträgt mehr als Fr. 30'000.-- (Art. 51 i.V.m. Art. 74 Abs. 1 lit. b BGG ) und die Beschwerdefrist ist eingehalten ( Art. 100 Abs. 1 BGG ).</w:t>
      </w:r>
    </w:p>
    <w:p>
      <w:r>
        <w:rPr>
          <w:b/>
        </w:rPr>
        <w:t>E. 1.2</w:t>
      </w:r>
    </w:p>
    <w:p>
      <w:r>
        <w:t>Die Beschwerde in Zivilsachen ist zulässig gegen einen verfahrensabschliessenden Entscheid einer kantonalen Letztinstanz (Art. 75 Abs. 1 i.V.m. Art. 90 BGG ). Gegen selbständig eröffnete Zwischenentscheide, die weder die Zuständigkeit noch den Ausstand betreffen, ist die Beschwerde nur unter den Voraussetzungen nach Art. 93 Abs. 1 BGG zulässig. Nach Auffassung des Beschwerdeführers handelt es sich beim erstinstanzlichen Entscheid um einen Zwischenentscheid. Dies ist insofern relevant, als Rechtsmittelentscheide betreffend Zwischenentscheide ihrerseits regelmässig wiederum Zwischenentscheide bilden ( BGE 134 IV 43 E. 2; Urteile 4A_100/2009 vom 15. September 2009 E. 1.2; 4A_290/2008 vom 4. Mai 2009 E. 3) und daher auch das angefochtene vorinstanzliche Urteil einen Zwischenentscheid darstellen würde, sollte die Auffassung des Beschwerdeführers zutreffen. Es ist somit zu prüfen, ob das erstinstanzliche Urteil als Endentscheid oder als Zwischenentscheid zu qualifizieren ist.</w:t>
      </w:r>
    </w:p>
    <w:p>
      <w:r>
        <w:rPr>
          <w:b/>
        </w:rPr>
        <w:t>E. 1.2.1</w:t>
      </w:r>
    </w:p>
    <w:p>
      <w:r>
        <w:t>Nach der bundesgerichtlichen Praxis sind Zwischenentscheide materiellrechtliche Grundsatzentscheide, die einen Teilaspekt einer Streitsache beantworten, ohne das Verfahren zu beenden ( BGE 133 V 477 E. 4.1.3). So können etwa materielle Vorfragen wie Bestand und Inhalt eines Vertrags ( BGE 133 III 634 E. 1.1 S. 635) oder die Verjährung eines Anspruches (Urteil 4A_276/2008 vom 31. Juli 2008 E. 1) zu Gunsten des Klägers in einem Zwischenentscheid vorab entschieden werden. Wird eine materielle Vorfrage hingegen zu Ungunsten des Klägers entschieden, so ergeht ein Endentscheid (Urteil 4A_458/2008 vom 21. Januar 2009 E. 1).</w:t>
      </w:r>
    </w:p>
    <w:p>
      <w:r>
        <w:rPr>
          <w:b/>
        </w:rPr>
        <w:t>E. 1.2.2</w:t>
      </w:r>
    </w:p>
    <w:p>
      <w:r>
        <w:t>Das Bezirksgericht Bremgarten verneinte in seinem Urteil vom 27. November 2008 eine Haftung der Beschwerdegegner im Zusammenhang mit dem Unfall vom 7. Oktober 2003 bereits dem Grundsatze nach. Damit entschied es eine materielle Vorfrage zu Ungunsten des Klägers. Da die Verneinung der Haftung zwingend auch zur Verneinung des Anspruchs auf Genugtuung führt, wies das Bezirksgericht Bremgarten die Leistungsklage des Beschwerdeführers mit einem Endentscheid ab. Die Vorinstanz hat somit das erstinstanzliche Urteil zu Recht als Endentscheid qualifiziert. Folglich ist auch der zweitinstanzliche Entscheid als Endentscheid und damit als zulässiges Anfechtungsobjekt zu qualifizieren.</w:t>
      </w:r>
    </w:p>
    <w:p>
      <w:r>
        <w:rPr>
          <w:b/>
        </w:rPr>
        <w:t>E. 1.3</w:t>
      </w:r>
    </w:p>
    <w:p>
      <w:r>
        <w:t>Die Beschwerde hat ein Rechtsbegehren zu enthalten ( Art. 42 Abs. 1 BGG ). Da die Beschwerde an das Bundesgericht ein reformatorisches Rechtsmittel ist ( Art. 107 Abs. 2 BGG ), ist grundsätzlich ein materieller Antrag erforderlich. Hat die Vorinstanz hingegen - wie vorliegend - einen Nichteintretensentscheid gefällt und demnach die Sache materiell nicht beurteilt, so kann das Bundesgericht im Falle der Gutheissung der Beschwerde nicht reformatorisch entscheiden, sondern müsste die Angelegenheit zum Entscheid in der Sache an die Vorinstanz zurückweisen. Ein materieller Antrag ist daher in solchen Fällen nicht erforderlich (Urteil 4A_330/2008 vom 27. Januar 2010 E. 2.1 mit Hinweis, nicht publ. in: BGE 136 III 102 ; Urteil 4A_516/2010 vom 2. Dezember 2010 E. 1.2). Der Antrag des Beschwerdeführers, das vorinstanzliche Urteil sei aufzuheben und die Sache sei zur materiellen Entscheidung an das Obergericht zurückzuweisen, ist daher zulässig.</w:t>
      </w:r>
    </w:p>
    <w:p>
      <w:r>
        <w:rPr>
          <w:b/>
        </w:rPr>
        <w:t>E. 1.4</w:t>
      </w:r>
    </w:p>
    <w:p>
      <w:r>
        <w:t>Die Beschwerdegegner machen in ihrer Vernehmlassung geltend, dem Beschwerdeführer fehle jegliche Beschwer. Der Beschwerdeführer beantrage die Aufhebung des obergerichtlichen Urteils und die Rückweisung der Sache an das Obergericht zur materiellen Entscheidung über die Haftung und die Haftungsquoten für den Schaden. Da er aber weder im erst- noch im zweitinstanzlichen Verfahren Ausführungen zu den einzelnen Schadenspositionen gemacht habe, hätte das Obergericht im Falle des Eintretens auf das Feststellungsbegehren gar nicht in der Sache entscheiden können und hätte das Feststellungsbegehren somit ohnehin abweisen müssen, weshalb der Beschwerdeführer nicht beschwert sei.</w:t>
      </w:r>
    </w:p>
    <w:p>
      <w:r>
        <w:rPr>
          <w:b/>
        </w:rPr>
        <w:t>E. 1.4.1</w:t>
      </w:r>
    </w:p>
    <w:p>
      <w:r>
        <w:t>Zur Beschwerde in Zivilsachen ist nach Art. 76 Abs. 1 BGG berechtigt, wer vor der Vorinstanz am Verfahren teilgenommen hat oder keine Möglichkeit zur Teilnahme erhalten hat (lit. a) und wer durch den angefochtenen Entscheid besonders berührt ist und ein schutzwürdiges Interesse an dessen Aufhebung oder Änderung hat (lit. b). Materiell beschwert im Sinne von lit. b ist, wer mit seinen Anträgen vor der Vorinstanz vollständig oder teilweise unterlegen ist ( BGE 133 III 421 E. 1.1 S. 426).</w:t>
      </w:r>
    </w:p>
    <w:p>
      <w:r>
        <w:rPr>
          <w:b/>
        </w:rPr>
        <w:t>E. 1.4.2</w:t>
      </w:r>
    </w:p>
    <w:p>
      <w:r>
        <w:t>Der Beschwerdeführer hat am Verfahren vor der Vorinstanz teilgenommen und ist mit seinen Rechtsbegehren vollständig unterlegen. Er ist daher zur Beschwerde in Zivilsachen legitimiert. Ob der Beschwerdeführer die rechtserheblichen Tatsachen behauptet hat, betrifft entgegen der Ansicht der Beschwerdegegner nicht die Beschwerdelegitimation, sondern ist im Rahmen der materiellen Beurteilung zu prüfen. Auf die Beschwerde ist daher unter Vorbehalt einer rechtsgenüglichen Begründung ( Art. 42 Abs. 2 und Art. 106 Abs. 2 BGG ) einzutreten.</w:t>
      </w:r>
    </w:p>
    <w:p>
      <w:r>
        <w:rPr>
          <w:b/>
        </w:rPr>
        <w:t>E. 2</w:t>
      </w:r>
    </w:p>
    <w:p>
      <w:r>
        <w:t>Der Beschwerdeführer wirft der Vorinstanz eine willkürliche Anwendung des kantonalen Zivilprozessrechts vor.</w:t>
      </w:r>
    </w:p>
    <w:p>
      <w:r>
        <w:rPr>
          <w:b/>
        </w:rPr>
        <w:t>E. 2.1</w:t>
      </w:r>
    </w:p>
    <w:p>
      <w:r>
        <w:t>Mit der Beschwerde in Zivilsachen kann eine Verletzung von Bundesrecht gerügt werden ( Art. 95 lit. a BGG ), zu dem laut der Begriffsbestimmung des BGG auch das Verfassungsrecht gehört. Nicht gerügt werden kann hingegen die Verletzung von kantonalem Recht, abgesehen von hier nicht einschlägigen Ausnahmen ( Art. 95 lit. c und d BGG ). Die Anwendung und Auslegung des kantonalen Zivilprozessrechts kann vom Bundesgericht daher einzig unter dem Blickwinkel eines Verstosses gegen Bundesrecht bzw. gegen Bundesverfassungsrecht überprüft werden ( Art. 95 BGG ; BGE 136 I 241 E. 2.4; 134 III 379 E. 1.2 S. 382 f.). Es kann namentlich gerügt werden, das kantonale Recht sei willkürlich angewendet worden ( Art. 9 BV ). 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136 I 316 E. 2.2.2 S. 319 mit Hinweisen).</w:t>
      </w:r>
    </w:p>
    <w:p>
      <w:r>
        <w:rPr>
          <w:b/>
        </w:rPr>
        <w:t>E. 2.2</w:t>
      </w:r>
    </w:p>
    <w:p>
      <w:r>
        <w:t>Der Beschwerdeführer rügt, die Vorinstanz habe in willkürlicher Weise gegen die Dispositionsmaxime des § 75 Abs. 2 ZPO /AG verstossen, indem sie davon ausgegangen sei, er habe ein Feststellungsbegehren gestellt. Die Vorinstanz habe verkannt, dass der Beschwerdeführer in erster Instanz eine Leistungsklage gestellt habe, die aufgrund der Beschränkung des Verfahrens auf die Frage der Haftung und der Haftungsquote noch nicht beurteilt worden sei. Durch die Beschränkung des Verfahrens sei die ursprüngliche Klage nicht abgeändert worden. Diese bleibe vielmehr bis zu dem Augenblick bestehen, in dem über den gesamten Anspruch ein Entscheid gefällt werde. Indem die Vorinstanz auf die Appellation mangels Behauptung eines Feststellungsinteresses nicht eingetreten sei und damit den im Gesamtverfahren immer noch bestehenden Antrag auf Zusprechung einer Genugtuung in der Form einer Leistungsklage ausser Acht gelassen habe, habe sie in unhaltbarer und unverständlicher Weise gegen die Dispositionsmaxime verstossen.</w:t>
      </w:r>
    </w:p>
    <w:p>
      <w:r>
        <w:rPr>
          <w:b/>
        </w:rPr>
        <w:t>E. 2.2.1</w:t>
      </w:r>
    </w:p>
    <w:p>
      <w:r>
        <w:t>Die Vorinstanz hat in ihrem Urteil vom 19. August 2010 die mit der Appellation gestellten Rechtsbegehren des Beschwerdeführers ausgelegt. Sie kam dabei zum Schluss, dass auf das eventualiter gestellte Leistungsbegehren auf Bezahlung einer Genugtuung von Fr. 100'000.-- nicht einzutreten sei. Dieses sei ausdrücklich nur für den Fall der Abweisung des Antrags auf Beschränkung des Verfahrens gestellt worden. Der vor Obergericht erneut gestellte Antrag werde aber nicht abgewiesen. Vielmehr werde er wegen Wegfalls des Rechtsschutzinteresses als gegenstandslos geworden von der Kontrolle abgeschrieben, da aus der Urteilserläuterung durch das Bezirksgericht Bremgarten hervorgegangen sei, dass diese den Antrag bereits gutgeheissen habe. Wenn der Antrag nicht gegenstandslos geworden wäre, hätte es diesen gutgeheissen. Zu beurteilen bleibe damit nur das Hauptbegehren, welches wie folgt lautete: "Es sei festzustellen, dass die Beklagten und Appellaten 1 und 2 solidarisch und vollumfänglich für den beim Kläger infolge des Unfalles vom 7. Oktober 2003 eingetretenen Schaden haften." Dieses Begehren qualifizierte die Vorinstanz als Feststellungsbegehren und ging in der Folge von einer Feststellungsklage aus.</w:t>
      </w:r>
    </w:p>
    <w:p>
      <w:r>
        <w:rPr>
          <w:b/>
        </w:rPr>
        <w:t>E. 2.2.2</w:t>
      </w:r>
    </w:p>
    <w:p>
      <w:r>
        <w:t>Nach § 75 Abs. 2 ZPO /AG darf der Richter einer Partei weder mehr noch anderes zusprechen, als sie selbst verlangt, noch weniger, als der Gegner anerkannt hat. Aus dieser Dispositionsmaxime folgt, dass Rechts- und Rechtsmittelbegehren so formuliert sein sollen, dass sie bei vollständiger Gutheissung ohne Ergänzung oder Verdeutlichung zum Urteilsdispositiv erhoben und ohne weiteres vollstreckt werden können (Bühler/Edelmann/Killer, Kommentar zur aargauischen Zivilprozessordnung, 2. Aufl. 1998, N. 24 zu § 75 ZPO /AG). Unklar formulierte Rechts- und Rechtsmittelbegehren dürfen hingegen nicht nur nach ihrem Wortlaut verstanden werden. Massgebend ist vielmehr der durch Auslegung zu ermittelnde objektive Sinn, wobei darauf abzustellen ist, welche Bedeutung den Rechtsbegehren im Gesamtzusammenhang zukommt (Bühler/Edelmann/Killer, a.a.O., N. 24 zu § 75 ZPO /AG). Rechtsbegehren sind mithin nach Treu und Glauben auszulegen, insbesondere im Lichte der dazu gegebenen Begründung ( BGE 105 II 149 E. 2a S. 152).</w:t>
      </w:r>
    </w:p>
    <w:p>
      <w:r>
        <w:rPr>
          <w:b/>
        </w:rPr>
        <w:t>E. 2.2.3</w:t>
      </w:r>
    </w:p>
    <w:p>
      <w:r>
        <w:t>Das Bezirksgericht Bremgarten hat die Leistungsklage des Beschwerdeführers abgewiesen und hat damit einen Endentscheid gefällt (E. 1.2.2). Es hat sich in diesem Entscheid indessen nur zum Grundsatze der Haftung geäussert, da das erstinstanzliche Verfahren auf diese Frage beschränkt worden war. Aus den Ausführungen des Obergerichts zum erneuten Antrag des Beschwerdeführers auf Beschränkung des Verfahrens (vgl. E. 2.2.1) ergibt sich, dass auch das vorinstanzliche Verfahren auf die Frage der Haftung beschränkt war. Das Obergericht hätte im Rahmen dieses beschränkten Verfahrens gar nicht reformatorisch über ein Leistungsbegehren befinden und dem Beschwerdeführer eine Genugtuung zusprechen können. Entsprechend konnte der Beschwerdeführer in seiner Appellation auch kein solches Leistungsbegehren stellen. Gegenstand des vorinstanzlichen Verfahrens und damit inhaltlicher Rahmen für das Appellationsbegehren war nur die Frage, ob das Bezirksgericht Bremgarten die Haftung der Beschwerdegegner zu Unrecht verneint hatte.</w:t>
      </w:r>
    </w:p>
    <w:p>
      <w:r>
        <w:rPr>
          <w:b/>
        </w:rPr>
        <w:t>E. 2.2.4</w:t>
      </w:r>
    </w:p>
    <w:p>
      <w:r>
        <w:t>In diesem Gesamtzusammenhang kann das Rechtsbegehren des Beschwerdeführers, mit welchem er die Feststellung der Haftung der Beschwerdegegner beantragte (vgl. E. 2.2.1), nach Treu und Glauben nicht dahingehend ausgelegt werden, er habe seine Leistungsklage durch eine Feststellungsklage ersetzt. Der Beschwerdeführer formulierte sein Hauptbegehren nur deshalb wie ein Feststellungsbegehren, weil er der Auffassung war, im auf die Vorfrage der Haftung beschränkten Verfahren sei gar kein anderes Rechtsbegehren möglich. Der Beschwerdeführer wollte aber an seiner Leistungsklage festhalten. Dies zeigt sein Eventualbegehren, das er als Leistungsbegehren formuliert und für den Fall gestellt hat, dass das Verfahren nicht auf die Frage der Haftung sowie der Haftungsquote beschränkt sein sollte. Indem die Vorinstanz das Hauptbegehren des Beschwerdeführers als eigentliches Feststellungsbegehren qualifizierte und mangels Nachweises eines Feststellungsinteresses auf die Appellation nicht eintrat, hat sie das Rechtsbegehren offensichtlich treuwidrig ausgelegt und somit willkürlich gegen den Dispositionsgrundsatz des § 75 Abs. 2 ZPO /AG verstossen. Die Rüge erweist sich als begründet.</w:t>
      </w:r>
    </w:p>
    <w:p>
      <w:r>
        <w:rPr>
          <w:b/>
        </w:rPr>
        <w:t>E. 3</w:t>
      </w:r>
    </w:p>
    <w:p>
      <w:r>
        <w:t>Nach dem Gesagten ist die Beschwerde gutzuheissen, das vorinstanzliche Urteil aufzuheben und die Sache zu neuer Entscheidung an das Obergericht des Kantons Aargau zurückzuweisen. Bei diesem Verfahrensausgang werden die Beschwerdegegner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