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4A_617/2014 vom 3. Februar 2015</w:t>
      </w:r>
    </w:p>
    <w:p>
      <w:r>
        <w:t>Bundesgericht, 2015-02-03, DE</w:t>
      </w:r>
    </w:p>
    <w:p>
      <w:r>
        <w:rPr>
          <w:b/>
        </w:rPr>
        <w:t xml:space="preserve">Quelle: </w:t>
      </w:r>
      <w:r>
        <w:t>https://mcp.opencaselaw.ch/entscheid/bger_4A_617_2014</w:t>
      </w:r>
    </w:p>
    <w:p>
      <w:r>
        <w:t>FR: TF 4A_617/2014 du 3 février 2015</w:t>
      </w:r>
    </w:p>
    <w:p>
      <w:r>
        <w:t>IT: TF 4A_617/2014 del 3 febbraio 2015</w:t>
      </w:r>
    </w:p>
    <w:p>
      <w:pPr>
        <w:pStyle w:val="Heading2"/>
      </w:pPr>
      <w:r>
        <w:t>Erwägungen</w:t>
      </w:r>
    </w:p>
    <w:p>
      <w:r>
        <w:rPr>
          <w:b/>
        </w:rPr>
        <w:t>E. 1</w:t>
      </w:r>
    </w:p>
    <w:p>
      <w:r>
        <w:t>Die Sachurteilsvoraussetzungen sind erfüllt und geben zu keinen Bemerkungen Anlass. Allerdings steht das Eintreten unter dem Vorbehalt zulässiger und rechtsgenügend begründeter Rügen ( Art. 42 Abs. 2 und Art. 106 Abs. 2 BGG ; vgl. Erwägung 2).</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4A_387/2013 vom 17. Februar 2014 E. 2.2, nicht publ. in: BGE 140 III 70 ; 4A_275/2011 vom 20. Oktober 2011 E. 2, nicht publ. in: BGE 137 III 539 ). Auf eine Kritik an den tatsächlichen Feststellungen der Vorinstanz, die diesen Anforderungen nicht genügt, ist nicht einzutreten ( BGE 140 III 16 E. 1.3.1 S. 18).</w:t>
      </w:r>
    </w:p>
    <w:p>
      <w:r>
        <w:t>Zu beachten ist ferner,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138 IV 13 E. 5.1 S. 22; 134 II 124 E. 4.1; 132 III 209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w:t>
      </w:r>
    </w:p>
    <w:p>
      <w:r>
        <w:t>Die Beschwerdeführerin kann demnach nicht gehört werden, soweit sie den Sachverhalt ergänzt haben möchte, ohne im Einzelnen hinreichend begründete Sachverhaltsrügen gemäss den dargelegten Grundsätzen zu erheben. Insbesondere genügt die Beschwerdeschrift diesen Anforderungen nicht, soweit darin verschiedene Sachverhaltselemente aufgeführt werden und lediglich erklärt wird, dass die Vorinstanz diese ignoriert habe, ohne hinreichend konkret darzulegen, inwieweit die Vorinstanz damit Bundesrecht verletzt haben soll und inwiefern der behauptete Mangel für den Ausgang des Verfahrens entscheidend sein könnte.</w:t>
      </w:r>
    </w:p>
    <w:p>
      <w:r>
        <w:rPr>
          <w:b/>
        </w:rPr>
        <w:t>E. 3</w:t>
      </w:r>
    </w:p>
    <w:p>
      <w:r>
        <w:t>Die Vorinstanz kam zum Schluss, dass nach den übereinstimmenden Aussagen beider Parteien die Beschwerdeführerin anfänglich im Rahmen eines Mäklervertrags beauftragt gewesen sei, Investoren für die Beschwerdegegnerin zu suchen. Die Beschwerdeführerin behauptete vor der Vorinstanz eine durch die Beschwerdegegnerin konkludent akzeptierte Vertragsänderung des ursprünglichen Mäklervertrags. Es sei bei dieser nicht mehr um die Suche nach Investoren, sondern um den Abschluss eines Kooperationsvertrags gegangen. Die Vorinstanz prüfte insbesondere, ob es an drei Besprechungen, nämlich am 15. Januar 2009, am 11. März 2009 sowie am 30. April 2009, zu dieser von der Beschwerdeführerin behaupteten Vertragsänderung gekommen ist.</w:t>
      </w:r>
    </w:p>
    <w:p>
      <w:r>
        <w:t>Bezüglich der Besprechung vom 15. Januar 2009, bei welcher C.________ den zwei Vertretern der Beschwerdegegnerin erstmals D.________ vorstellte, hielt die Vorinstanz dafür, dass die behauptete Vertragsänderung in den Akten keine Stütze finde. Betreffend die Besprechung vom 11. März 2009 zwischen C.________ und D.________ bleibe offen, was der genaue Gesprächsinhalt gewesen sei. In Bezug auf die Besprechung vom 30. April 2009 stehe fest, dass die Beschwerdegegnerin nach ihrer eigenen Zugabe in diesem Zeitpunkt erstmals von der Möglichkeit eines Vertrags mit der E.________ erfahren habe. Es sei daher zu prüfen, so die Vorinstanz weiter, ob an diesem Datum eine Änderung des ursprünglichen Mäklervertrags zustande gekommen sei. Dies verneinte sie jedoch, weil es am Nachweis der Einigung über die geschuldete Mäklertätigkeit entsprechend der drei möglichen Mäklerformen und damit über einen wesentlichen Vertragsbestandteil fehle. Der Beschwerdeführerin sei es zusammenfassend nicht gelungen, die behauptete Vertragsänderung nachzuweisen. Es bleibe daher beim ursprünglichen Mäklervertrag, wobei die Investorensuche der Beschwerdeführerin ohne Erfolg geblieben sei, sodass aus diesem Vertrag kein Mäklerlohn geschuldet sei.</w:t>
      </w:r>
    </w:p>
    <w:p>
      <w:r>
        <w:rPr>
          <w:b/>
        </w:rPr>
        <w:t>E. 4</w:t>
      </w:r>
    </w:p>
    <w:p>
      <w:r>
        <w:t>Die Beschwerdeführerin beharrt auf ihrem Standpunkt, dass es konkludent bzw. durch wissentliche Duldung ihrer Mäklertätigkeit im Hinblick auf den Abschluss eines Kooperationsvertrags zu einer Änderung des ursprünglichen Mäklervertrags zwischen den Parteien gekommen sei. Sie wirft der Vorinstanz vor, bei der Ermittlung von tatsächlichen Umständen, die auf eine solche Vertragsänderung schliessen lassen könnten, zu Unrecht die handschriftlichen Notizen von C.________ nicht berücksichtigt und als reine Parteibehauptung qualifiziert sowie die Beweismittel willkürlich gewürdigt zu haben. Damit habe sie Art. 177 ZPO , Art. 29 Abs. 2 BV und das Willkürverbot verletzt.</w:t>
      </w:r>
    </w:p>
    <w:p>
      <w:r>
        <w:rPr>
          <w:b/>
        </w:rPr>
        <w:t>E. 4.1</w:t>
      </w:r>
    </w:p>
    <w:p>
      <w:r>
        <w:t>Die Vorinstanz gab in ihren Erwägungen zum Inhalt der Besprechungen vom 11. März 2009 und vom 30. April 2009 zunächst die Behauptungen der Beschwerdeführerin wieder. Daran anschliessend hielt sie fest, dass die Beschwerdeführerin für ihre Behauptung "als Beweis (...) ein handschriftliches Protokoll von C.________ vom gleichen Tag" einreichte bzw. dass sie "zum Beweis (...) Handnotizen von C.________ vom 30. April 2009 einreichen" liess. Im Rahmen der Beweiswürdigung qualifizierte die Vorinstanz anschliessend die handschriftlichen Notizen als reine Parteibehauptungen und erklärte, dass alleine mit diesen der von der Beschwerdeführerin behauptete Gesprächsinhalt nicht belegt werden könne.</w:t>
      </w:r>
    </w:p>
    <w:p>
      <w:r>
        <w:t>Die Vorinstanz stellte damit ausdrücklich fest, dass die Beschwerdeführerin für ihre Behauptungen des Gesprächsinhalts die handschriftlichen Notizen einreichte, und berücksichtigte diese bei der Beweiswürdigung. Der gegenteilige Vorwurf der Beschwerdeführerin trifft somit nicht zu. Eine willkürliche Nichtberücksichtigung eines wichtigen und entscheidrelevanten Beweismittels, eine Verletzung von Art. 177 ZPO oder eine Verletzung des Anspruchs auf rechtliches Gehör liegt nicht vor. Vielmehr hat die Vorinstanz die genannten Handnotizen in einem von der Auffassung der Beschwerdeführerin abweichenden Sinn gewürdigt (dazu Erwägung 4.2 f.).</w:t>
      </w:r>
    </w:p>
    <w:p>
      <w:r>
        <w:rPr>
          <w:b/>
        </w:rPr>
        <w:t>E. 4.2</w:t>
      </w:r>
    </w:p>
    <w:p>
      <w:r>
        <w:t>Wird ein Vorbringen bei der Sachverhaltsfeststellung als Parteibehauptung berücksichtigt und nicht als Beweismittel, so beschlägt dies die Beweiswürdigung (Urteil 4A_22/2008 vom 10. April 2008 E. 6). Inwiefern die Beweiswürdigung der Vorinstanz offensichtlich unhaltbar sein soll, legt die Beschwerdeführerin nicht in einer Weise dar, die den Anforderungen an die Begründung einer Willkürrüge (vgl. dazu Erwägung 2) zu genügen vermöchte. Auf die Rüge der willkürlichen Beweiswürdigung kann daher nicht eingetreten werden. Ohnehin ist es nicht offensichtlich unhaltbar, dass die Vorinstanz im Rahmen der Beweiswürdigung davon ausging, dass die von einem Verwaltungsratsmitglied der Beschwerdeführerin angefertigten handschriftlichen Gesprächsnotizen als blosse Parteibehauptung zu qualifizieren und zu würdigen sind.</w:t>
      </w:r>
    </w:p>
    <w:p>
      <w:r>
        <w:t>Inwiefern die Vorinstanz mit der erwähnten Beweiswürdigung Art. 177 ZPO oder den Anspruch auf rechtliches Gehör nach Art. 29 Abs. 2 BV verletzt hätte, ist nicht ersichtlich.</w:t>
      </w:r>
    </w:p>
    <w:p>
      <w:r>
        <w:rPr>
          <w:b/>
        </w:rPr>
        <w:t>E. 4.3.1</w:t>
      </w:r>
    </w:p>
    <w:p>
      <w:r>
        <w:t>Die Beschwerdeführerin rügt sodann, die Vorinstanz sei zum falschen Schluss gelangt, dass der genaue Inhalt der Gespräche vom 11. März 2009 sowie vom 30. April 2009 nicht eruiert werden könne. Aus den Notizen ergebe sich der tatsächliche Gesprächsinhalt der Treffen eindeutig und sehr detailliert, nämlich, dass bereits am 11. März 2009 die Suche nach einem Investor überhaupt kein Thema mehr gewesen sei. Vielmehr sei es um einen Kooperationsvertrag gegangen. Auch insofern liege eine "falsche" Beweiswürdigung vor.</w:t>
      </w:r>
    </w:p>
    <w:p>
      <w:r>
        <w:t>Die Vorinstanz setzte sich bezüglich der Inhalte der Besprechungen vom 11. März 2009 und vom 30. April 2009 mit den Behauptungen der Beschwerdeführerin, den von ihr eingereichten handschriftlichen Notizen von C.________, den Bestreitungen der Beschwerdegegnerin sowie den Aussagen der anderen Gesprächsteilnehmer auseinander. Im Rahmen der Beweiswürdigung hielt sie fest, dass offen bleibe, was der Inhalt der Besprechung vom 11. März 2009 gewesen sei und dass es für das Treffen vom 30. April 2009 offensichtlich am Nachweis der Einigung auf eine der drei möglichen Mäklerformen fehle. Die von der Beschwerdeführerin ins Recht gelegten Handnotizen, so die Vorinstanz, könnten angesichts der gesamten Beweislage zu keinem anderen Schluss führen, denn alleine mit diesen Notizen könne der von der Beschwerdeführerin behauptete Gesprächsinhalt nicht belegt werden.</w:t>
      </w:r>
    </w:p>
    <w:p>
      <w:r>
        <w:t>Die Beschwerdeführerin beharrt bloss darauf, dass sich aus den handschriftlichen Notizen der Gesprächsinhalt und daraus die von ihr behauptete Vertragsänderung ergeben würde. Damit legt sie nicht rechtsgenüglich dar, inwiefern die Beweiswürdigung der Vorinstanz offensichtlich unhaltbar sein soll, sodass auf die Rüge nicht eingetreten werden kann.</w:t>
      </w:r>
    </w:p>
    <w:p>
      <w:r>
        <w:rPr>
          <w:b/>
        </w:rPr>
        <w:t>E. 4.3.2</w:t>
      </w:r>
    </w:p>
    <w:p>
      <w:r>
        <w:t>Schliesslich bringt die Beschwerdeführerin vor, dass sich ihre Vermittlungstätigkeit im Hinblick auf den Abschluss des Kooperationsvertrags aus dem E-Mail-Verkehr zwischen den Parteien ergebe. Die Vorinstanz habe ignoriert, dass F.________ von der Beschwerdegegnerin in der E-Mail vom 9. Juni 2009 an C.________ erstmals seit langem wieder ausdrücklich die Investorensuche erwähnt habe. Ebenso belege der E-Mail-Verkehr vom 18. Juni 2009 zwischen C.________ und G.________ von der Beschwerdegegnerin eindeutig die Vermittlungstätigkeit im Hinblick auf den Abschluss des Kooperationsvertrags. Die Vorinstanz habe diese Beweismittel "falsch" gewürdigt.</w:t>
      </w:r>
    </w:p>
    <w:p>
      <w:r>
        <w:t>Die Vorinstanz berücksichtigte, dass F.________ in der E-Mail an C.________ vom 9. Juni 2009 bekräftigte, dass die Suche nach einem Investor oberste Priorität habe. Sie schloss daraus, dass es daher auch nach dem 30. April 2009 beim ursprünglichen Mäklervertrag zwischen den Parteien geblieben sei. Damit folgte sie implizit der Erstinstanz, die festgestellt hatte, dass sich auch aus dem E-Mail-Verkehr vom 18. Juni 2009 zwischen G.________ und C.________ - entgegen der Ansicht der Beschwerdeführerin - keine Vertragsänderung entnehmen lasse.</w:t>
      </w:r>
    </w:p>
    <w:p>
      <w:r>
        <w:t>Die Beschwerdeführerin setzt sich mit diesen Erwägungen der Vorinstanz nicht hinreichend auseinander, sondern stellt der vorinstanzlichen Beweiswürdigung bloss ihre eigene Darstellung gegenüber und wiederholt in appellatorischer Weise ihre Vorbringen im vorinstanzlichen Verfahren. Inwieweit die Würdigung der E-Mails vom 9. und 18. Juni 2009 durch die Vorinstanz offensichtlich unhaltbar sein soll, legt die Beschwerdeführerin mit ihren Ausführungen nicht dar. Damit genügt sie den Anforderungen an eine Willkürrüge nicht und es kann darauf nicht eingetreten werden.</w:t>
      </w:r>
    </w:p>
    <w:p>
      <w:r>
        <w:rPr>
          <w:b/>
        </w:rPr>
        <w:t>E. 5</w:t>
      </w:r>
    </w:p>
    <w:p>
      <w:r>
        <w:t>Nach dem Ausgeführten vermag die Beschwerdeführerin hinsichtlich der Hauptbegründung der Vorinstanz, wonach es zwischen den Parteien nicht zu einer Änderung des ursprünglichen Mäklervertrags gekommen sei, keine Verletzung von Bundesrecht aufzeigen. Demnach braucht auf die vorinstanzliche Eventualbegründung betreffend die fehlende Kausalität der Mäklertätigkeit für den Hauptvertragsabschluss sowie die dagegen erhobenen Rügen nicht weiter eingegangen zu werden.</w:t>
      </w:r>
    </w:p>
    <w:p>
      <w:r>
        <w:rPr>
          <w:b/>
        </w:rPr>
        <w:t>E. 6</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