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616/2024 vom 24. März 2025</w:t>
      </w:r>
    </w:p>
    <w:p>
      <w:r>
        <w:t>Bundesgericht, 2025-03-24, DE</w:t>
      </w:r>
    </w:p>
    <w:p>
      <w:r>
        <w:rPr>
          <w:b/>
        </w:rPr>
        <w:t xml:space="preserve">Quelle: </w:t>
      </w:r>
      <w:r>
        <w:t>https://mcp.opencaselaw.ch/entscheid/bger_4A_616_2024</w:t>
      </w:r>
    </w:p>
    <w:p>
      <w:r>
        <w:t>FR: TF 4A 616/2024 du 24 mars 2025</w:t>
      </w:r>
    </w:p>
    <w:p>
      <w:r>
        <w:t>IT: TF 4A 616/2024 del 24 marzo 2025</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 BGE 142 III 521 E. 1). Der angefochtene Entscheid ist in englischer Sprache abgefasst. Da es sich dabei nicht um eine Amtssprache handelt, ergeht der Entscheid des Bundesgerichts praxisgemäss in der Sprache der Beschwerde, hier in Deutsch.</w:t>
      </w:r>
    </w:p>
    <w:p>
      <w:r>
        <w:rPr>
          <w:b/>
        </w:rPr>
        <w:t>E. 2</w:t>
      </w:r>
    </w:p>
    <w:p>
      <w:r>
        <w:t>Im Bereich der internationalen Schiedsgerichtsbarkeit ist die Beschwerde in Zivilsachen unter den Voraussetzungen der Art. 190-192 IPRG zulässig ( Art. 77 Abs. 1 lit. a BGG ).</w:t>
      </w:r>
    </w:p>
    <w:p>
      <w:r>
        <w:rPr>
          <w:b/>
        </w:rPr>
        <w:t>E. 2.1</w:t>
      </w:r>
    </w:p>
    <w:p>
      <w:r>
        <w:t>Der Sitz des Schiedsgerichts befindet sich vorliegend in Lausanne. Die Beschwerdegegner hatten im massgebenden Zeitpunkt ihren Wohnsitz bzw.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4A_268/2024 vom 11. Oktober 2024 E. 2.2; 4A_180/2023 vom 24. Juli 2023 E. 2.2; 4A_446/2022 vom 15. Mai 2023 E. 2.2. Die Anträge des Beschwerdeführers sind demnach zulässig.</w:t>
      </w:r>
    </w:p>
    <w:p>
      <w:r>
        <w:rPr>
          <w:b/>
        </w:rPr>
        <w:t>E. 2.3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 Da die Begründung in der Beschwerdeschrift enthalten sein muss, kann die beschwerdeführende Partei nicht auf die Behauptungen, Beweise und Beweisangebote verweisen, die in den Rechtsschriften des Schiedsverfahrens enthalten sind. Ebenso wenig darf die beschwerdeführende Partei die Replik dazu benutzen, tatsächliche oder rechtliche Gründe geltend zu machen, die sie nicht rechtzeitig - d.h. vor Ablauf der nicht erstreckbaren Beschwerdefrist ( Art. 190 Abs. 4 IPRG i.V.m. Art. 47 Abs. 1 BGG ) - vorgebracht hat, oder um nach Fristablauf eine ungenügende Begründung zu ergänzen ( BGE 150 III 280 E. 4.1; Urteil 4A_478/2017 vom 2. Mai 2018 E. 2.2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3</w:t>
      </w:r>
    </w:p>
    <w:p>
      <w:r>
        <w:t>Der Beschwerdeführer rügt, das Schiedsgericht habe sich zu Unrecht für zuständig erklärt (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150 III 89 E. 4.2.1; 149 III 131 E. 6.4.1; 147 III 107 E. 3.1.1).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149 III 131 E. 6.4.1; 144 III 559 E. 4.1; 142 III 220 E. 3.1, 239 E. 3.1; je mit Hinweisen). Die Gültigkeit einer Schiedsvereinbarung in inhaltlicher Hinsicht beurteilt sich gemäss Art. 178 Abs. 2 IPRG nach dem von den Parteien gewählten, dem auf die Streitsache, insbesondere dem auf den Hauptvertrag anwendbaren oder dem schweizerischen Recht ( BGE 147 III 107 E. 3.1.1; 140 III 134 E. 3.1; 138 III 29 E. 2.2.2). Das Schiedsgericht hat die Gültigkeit der Schiedsklausel nach schweizerischem Recht beurteilt. Dies wird auch vom Beschwerdeführer nicht in Frage gestellt.</w:t>
      </w:r>
    </w:p>
    <w:p>
      <w:r>
        <w:rPr>
          <w:b/>
        </w:rPr>
        <w:t>E. 3.2</w:t>
      </w:r>
    </w:p>
    <w:p>
      <w:r>
        <w:t>Der Beschwerdeführer verkennt den Grundsatz der Bindung des Bundesgerichts an den vom Schiedsgericht festgestellten Sachverhalt ( Art. 105 Abs. 1 BGG ), indem er vor Bundesgericht behauptet, die Beschwerdegegner versuchten durch die Rechtswahl sowie die Unterstellung des Vertragsverhältnisses unter die internationale Schiedsgerichtsbarkeit, Schweizer Normen zu umgehen und sich so einen Wettbewerbsvorteil zu verschaffen. Seine Vorbringen zum angeblichen Wissen und Wollen der Parteien wie auch zu den Verhältnissen auf dem schweizerischen Spielervermittlermarkt lassen sich nicht auf die Sachverhaltsfeststellungen im angefochtenen Entscheid stützen und haben insoweit unbeachtet zu bleiben. Abgesehen davon erhebt der Beschwerdeführer mit seinen Vorwürfen gegenüber den Beschwerdegegnern, diese verstiessen gegen die Bewilligungspflicht nach dem Bundesgesetz vom 6. Oktober 1989 über die Arbeitsvermittlung und den Personalverleih (SR 823.11; Arbeitsvermittlungsgesetz, AVG) und handelten unlauter, keine nach Art. 190 Abs. 2 IPRG zulässige Rüge.</w:t>
      </w:r>
    </w:p>
    <w:p>
      <w:r>
        <w:rPr>
          <w:b/>
        </w:rPr>
        <w:t>E. 3.3</w:t>
      </w:r>
    </w:p>
    <w:p>
      <w:r>
        <w:t>Der Beschwerdeführer rügt, der vorliegende Streitgegenstand sei nicht schiedsfähig und das TAS habe sich daher zu Unrecht für zuständig erklärt. Er bringt vor, die Regeln der internationalen Schiedsgerichtsbarkeit (12. Kapitel des IPRG) seien nur anwendbar, weil die Beschwerdegegner im Zeitpunkt des Abschlusses der Schiedsvereinbarung ihren Wohnsitz bzw. Sitz ausserhalb der Schweiz gehabt hätten. Dies sei jedoch nur der Fall, weil die Beschwerdegegner nicht über eine Bewilligung nach Art. 2 Abs. 1 und 4 AVG verfügt hätten, womit sie die Bestimmung ( Art. 3 Abs. 1 lit. a AVG ) umgangen hätten, nach der in der Schweiz tätige Arbeitsvermittler ihren Sitz in der Schweiz haben müssten. Mit dieser Argumentation verwechselt der Beschwerdeführer normative Vorgaben mit tatsächlichen Verhältnissen. Die von ihm behauptete Missachtung bundesrechtlicher Vorschriften aus dem Arbeitsvermittlungsgesetz hätte zur Folge, dass die Voraussetzungen für die Erteilung einer Betriebsbewilligung nicht erfüllt wären ( Art. 13 Abs. 1 lit. a AVG ) oder gegebenenfalls strafrechtliche Sanktionen ( Art. 39 AVG ) drohten. Inwiefern sich daraus jedoch ergeben sollte, dass im Hinblick auf die Anwendbarkeit von Art. 176 Abs. 1 IPRG von einem Wohnsitz bzw. Sitz der Beschwerdegegner im Zeitpunkt des Vertragsabschlusses in der Schweiz auszugehen wäre, leuchtet nicht ein, zumal die Bestimmung auf einen tatsächlichen und nicht einen hypothetischen Wohnsitz bzw. Sitz abstellt. Der Beschwerdeführer stellt selber nicht in Abrede, dass die Beschwerdegegner im massgebenden Zeitpunkt ihren Wohnsitz bzw. Sitz in Frankreich bzw. Rumänien und damit ausserhalb der Schweiz hatten. Das Schiedsgericht hat daher gestützt auf Art. 176 Abs. 1 IPRG zutreffend erwogen, die Bestimmungen des 12. Kapitels des IPRG seien im konkreten Fall anwendbar. Damit bestimmt sich die Schiedsfähigkeit der vorliegenden Streitsache nicht wie in der Beschwerde behauptet nach Art. 354 ZPO , sondern nach Art. 177 Abs. 1 IPRG . Dass die von den Beschwerdegegnern eingeklagten vertraglichen Ansprüche nach dieser Bestimmung nicht schiedsfähig sein sollen, bringt auch der Beschwerdeführer nicht vor, zumal es sich dabei unbestreitbar um vermögensrechtliche Ansprüche handelt.</w:t>
      </w:r>
    </w:p>
    <w:p>
      <w:r>
        <w:rPr>
          <w:b/>
        </w:rPr>
        <w:t>E. 3.4</w:t>
      </w:r>
    </w:p>
    <w:p>
      <w:r>
        <w:t>Dem Beschwerdeführer kann sodann nicht gefolgt werden, wenn er eventualiter geltend macht, die vereinbarte Schiedsklausel sei nichtig. Er behauptet, die Schiedsvereinbarung sei "zweckwidrig zur Umgehung von zwingenden Schutzbestimmungen im Bereich der Arbeitsvermittlung verwendet [worden]", ohne dass sich dieser Vorwurf auf die für das Bundesgericht verbindlichen ( Art. 105 Abs. 1 BGG ) Sachverhaltsfeststellungen im angefochtenen Entscheid stützen liesse. Ebenso wenig leuchtet ein, inwiefern die Beschwerdegegner nicht "vertragsfähig" gewesen sein sollen, geschweige denn, weshalb die behauptete Nichtigkeit des Hauptvertrags aufgrund der angeblichen Verletzungen des AVG auch die im Agency Agreement enthaltene Schiedsklausel betroffen haben soll. Der Beschwerdeführer übt mit seinen Vorbringen vielmehr in unzulässiger Weise inhaltliche Kritik am angefochtenen Schiedsentscheid und verkennt den Grundsatz der Autonomie der Schiedsklausel (dazu BGE 142 III 239 E. 3.2.1; 140 III 134 E. 3.3.2; vgl. auch BGE 150 III 147 E. 7.6.1).</w:t>
      </w:r>
    </w:p>
    <w:p>
      <w:r>
        <w:rPr>
          <w:b/>
        </w:rPr>
        <w:t>E. 4</w:t>
      </w:r>
    </w:p>
    <w:p>
      <w:r>
        <w:t>Der Beschwerdeführer macht geltend, das Schiedsgericht habe gegen den materiellen wie auch den formellen Ordre public verstossen ( Art. 190 Abs. 2 lit. e IPRG ).</w:t>
      </w:r>
    </w:p>
    <w:p>
      <w:r>
        <w:rPr>
          <w:b/>
        </w:rPr>
        <w:t>E. 4.1</w:t>
      </w:r>
    </w:p>
    <w:p>
      <w:r>
        <w:t>Der Ordre public hat sowohl einen materiellen als auch einen verfahrensrechtlichen Gehalt: 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 diesen Grundsätzen gehören namentlich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 BGE 144 III 120 E. 5.1; 138 III 322 E. 4.1; je mit Hinweisen).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Eine falsche oder gar willkürliche Anwendung von Prozessvorschriften bedeutet für sich allein noch keine Verletzung des formellen Ordre public. Vielmehr kommt einzig ein Verstoss gegen eine Regel in Betracht, die zur Gewährleistung der Fairness des Verfahrens unerlässlich ist ( BGE 150 III 238 E. 3.1; 147 III 379 E. 4.1; 129 III 445 E. 4.2.1). Zur Aufhebung des angefochtenen Schiedsentscheids kommt es nur, wenn dieser nicht nur in der Begründung, sondern auch im Ergebnis dem Ordre public widerspricht ( BGE 144 III 120 E. 5.1; 138 III 322 E. 4.1 und E. 4.3.1/4.3.2; je mit Hinweisen).</w:t>
      </w:r>
    </w:p>
    <w:p>
      <w:r>
        <w:rPr>
          <w:b/>
        </w:rPr>
        <w:t>E. 4.2</w:t>
      </w:r>
    </w:p>
    <w:p>
      <w:r>
        <w:t>Indem der Beschwerdeführer vorbringt, er werde mit dem angefochtenen Schiedsspruch verpflichtet, "eine Forderung aus einem nichtigen Vertrag an die Beschwerdegegner zu bezahlen", zeigt er keine Verletzung des materiellen Ordre public auf, sondern kritisiert in unzulässiger Weise die schiedsgerichtliche Rechtsanwendung. Er bezeichnet die im Vertrag mit den Beschwerdegegnern getroffene Rechtswahl als unzulässig und rechtsmissbräuchlich, zeigt jedoch nicht auf, welchen fundamentalen und allgemein anerkannten Rechtsgrundsatz hinsichtlich der Zulässigkeit einer zwischen Vertragsparteien erfolgten Rechtswahl das Schiedsgericht verletzt haben soll. Weder mit dem allgemein erhobenen Vorwurf, in der Nichtanwendung zwingender Bestimmungen des Arbeitsvermittlungsgesetzes sei eine Verletzung des Grundsatzes von Treu und Glauben zu erblicken, noch mit dem blossen Hinweis auf den mit dem AVG verfolgten Zweck des Arbeitnehmerschutzes zeigt der Beschwerdeführer eine Verletzung von Art. 190 Abs. 2 lit. e IPRG auf. Entgegen der in der Beschwerde vertretenen Ansicht bedeutet der Umstand, dass die vorzeitige Auflösung eines Vertrags eine Schadenersatzpflicht auslöst, zudem keine Ordre public-Widrigkeit. Auch sein Vergleich der auferlegten Schadenersatzzahlung mit Schmiergeld geht an der Sache vorbei, beruft sich der Beschwerdeführer doch in diesem Zusammenhang einmal mehr darauf, der abgeschlossene Vertrag sei nichtig und übt damit lediglich unzulässige inhaltliche Kritik am angefochtenen Entscheid.</w:t>
      </w:r>
    </w:p>
    <w:p>
      <w:r>
        <w:rPr>
          <w:b/>
        </w:rPr>
        <w:t>E. 4.3</w:t>
      </w:r>
    </w:p>
    <w:p>
      <w:r>
        <w:t>Auch der Vorwurf der Verletzung des verfahrensrechtlichen Ordre public zielt ins Leere. Der Beschwerdeführer bringt vor, das Schiedsgericht habe verschiedene rechtliche Gesichtspunkte zu Unrecht unberücksichtigt gelassen und es sei ihm der in zwingenden Gesetzesbestimmungen vorgesehene Arbeitnehmerschutz im Bereich der Arbeitsvermittlung entzogen worden. Mit seinen Ausführungen übt er einmal mehr unzulässige Kritik an der schiedsgerichtlichen Rechtsanwendung; die Verletzung eines zur Gewährleistung der Fairness des Verfahrens unerlässlichen Grundsatzes zeigt er nicht auf.</w:t>
      </w:r>
    </w:p>
    <w:p>
      <w:r>
        <w:rPr>
          <w:b/>
        </w:rPr>
        <w:t>E. 5</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