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616/2009 vom 11. Mai 2010</w:t>
      </w:r>
    </w:p>
    <w:p>
      <w:r>
        <w:t>Bundesgericht, 2010-05-11, DE</w:t>
      </w:r>
    </w:p>
    <w:p>
      <w:r>
        <w:rPr>
          <w:b/>
        </w:rPr>
        <w:t xml:space="preserve">Quelle: </w:t>
      </w:r>
      <w:r>
        <w:t>https://mcp.opencaselaw.ch/entscheid/bger_4A_616_2009</w:t>
      </w:r>
    </w:p>
    <w:p>
      <w:r>
        <w:t>FR: TF 4A 616/2009 du 11 mai 2010</w:t>
      </w:r>
    </w:p>
    <w:p>
      <w:r>
        <w:t>IT: TF 4A 616/2009 del 11 maggio 2010</w:t>
      </w:r>
    </w:p>
    <w:p>
      <w:pPr>
        <w:pStyle w:val="Heading2"/>
      </w:pPr>
      <w:r>
        <w:t>Regeste</w:t>
      </w:r>
    </w:p>
    <w:p>
      <w:r>
        <w:t>Patentrecht und UWG (vorsorgliche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BGE 135 III 1 E. 1.1).</w:t>
      </w:r>
    </w:p>
    <w:p>
      <w:r>
        <w:rPr>
          <w:b/>
        </w:rPr>
        <w:t>E. 1.1</w:t>
      </w:r>
    </w:p>
    <w:p>
      <w:r>
        <w:t>Die Beschwerde richtet sich gegen einen Entscheid einer letzten kantonalen Instanz ( Art. 75 Abs. 1 BGG ) in einer Zivilsache ( Art. 72 Abs. 1 BGG ), die Rechtsbegehren der Beschwerdeführerin sind im kantonalen Verfahren nicht geschützt worden ( Art. 76 Abs. 1 BGG ), der massgebende Streitwert beträgt mehr als Fr. 30'000.-- (Art. 51 i.V.m. Art. 74 Abs. 1 lit. b BGG ) und die Beschwerdefrist ist eingehalten (Art. 46 Abs. 1 lit. a i.V.m. Art. 100 Abs. 1 BGG ).</w:t>
      </w:r>
    </w:p>
    <w:p>
      <w:r>
        <w:rPr>
          <w:b/>
        </w:rPr>
        <w:t>E. 1.2</w:t>
      </w:r>
    </w:p>
    <w:p>
      <w:r>
        <w:t>Die Beschwerde in Zivilsachen ist grundsätzlich nur gegen Endentscheide im Sinne von Art. 90 BGG zulässig.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stellen dagegen Zwischenentscheide im Sinne von Art. 93 BGG dar. Gegen solche ist die Beschwerde nur zulässig, wenn sie einen nicht wiedergutzumachenden Nachteil bewirken können ( Art. 93 Abs. 1 lit. a BGG ), der auch durch einen für die Beschwerdeführerin günstigen Entscheid in der Zukunft nicht mehr behoben werden kann ( BGE 134 I 83 E. 3.1 S. 86 f. mit Hinweisen). Der angefochtene Entscheid betrifft eine vorsorgliche Massnahme, die während eines hängigen Hauptverfahrens angeordnet wurde. Demnach handelt es sich um einen Zwischenentscheid nach Art. 93 BGG . Bei einer vorsorglichen Unterlassungsanordnung liegt auf der Hand und wird auch nach ständiger Praxis des Bundesgerichts bejaht, dass eine solche Massnahme einen nicht wieder gutzumachenden Nachteil bewirken kann und daher vor Bundesgericht anfechtbar ist ( BGE 134 I 83 E. 3.1 S. 86 mit Hinweisen). Auf die Beschwerde in Zivilsachen ist somit grundsätzlich einzutreten.</w:t>
      </w:r>
    </w:p>
    <w:p>
      <w:r>
        <w:rPr>
          <w:b/>
        </w:rPr>
        <w:t>E. 1.3</w:t>
      </w:r>
    </w:p>
    <w:p>
      <w:r>
        <w:t>Das Bundesgericht legt seinem Urteil den Sachverhalt zugrunde, den die Vorinstanz festgestellt hat ( Art. 105 Abs. 1 BGG ); neue Tatsachen und Beweismittel sind grundsätzlich unzulässig ( Art. 99 Abs. 1 BGG ). Zulässig ist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1.4</w:t>
      </w:r>
    </w:p>
    <w:p>
      <w:r>
        <w:t>Mit der Beschwerde gegen Entscheide über vorsorgliche Massnahmen kann nur die Verletzung verfassungsmässiger Rechte gerügt werden ( Art. 98 BGG ). Nach Art. 106 Abs. 2 BGG prüft das Bundesgericht die Verletzung von Grundrechten nur insofern, als eine solche Rüge in der Beschwerde vorgebracht und begründet worden ist. Die Beschwerdeführerin muss klar und detailliert anhand der Erwägungen des angefochtenen Entscheids darlegen, inwiefern verfassungsmässige Rechte verletzt worden sein sollen ( BGE 135 III 232 E. 1.2 S. 234; 133 III 589 E. 2 S. 591 f.; 133 IV 286 E. 1.4). Beruht der angefochtene Entscheid auf mehreren selbständigen Begründungen, die je für sich den Ausgang des Rechtsstreits besiegeln, so hat die Beschwerdeführerin darzulegen, dass jede von ihnen Recht verletzt, andernfalls auf die Beschwerde nicht eingetreten werden kann ( BGE 133 IV 119 E. 6 mit Hinweisen). Ferner hat die Begründung in der Beschwerdeschrift selbst zu erfolgen; Verweise auf andere Rechtsschriften, insbesondere im kantonalen Verfahren eingereichte, sind unbeachtlich (vgl. BGE 133 II 396 E. 3.1 S. 399 f.; 131 III 384 E. 2.3 S. 387 f., je mit Verweisen).</w:t>
      </w:r>
    </w:p>
    <w:p>
      <w:r>
        <w:rPr>
          <w:b/>
        </w:rPr>
        <w:t>E. 1.5</w:t>
      </w:r>
    </w:p>
    <w:p>
      <w:r>
        <w:t>Diese Grundsätze verkennt die Beschwerdeführerin, soweit sie ihre Beschwerde mit blossen Verweisen auf ihre Plädoyernotizen begründet. Dies gilt namentlich für die Rügen, das Kantonsgericht habe ihre Ausführungen zur Zuständigkeitsfrage, zum Inhalt und der Bedeutung diverser E-Mails, zur Verwirkung eines allfälligen Anspruchs im Massnahmenverfahren sowie zur Tragweite von Art. 5 lit. a und b UWG übergangen. Es ist nicht Aufgabe des Bundesgerichts, in den zitierten Akten nachzuforschen, welche konkreten Behauptungen und rechtlichen Erörterungen daraus zu entnehmen sind, die das Kantonsgericht aber unberücksichtigt gelassen haben soll. Auf ungenügend begründete Rügen ist nicht einzutreten.</w:t>
      </w:r>
    </w:p>
    <w:p>
      <w:r>
        <w:rPr>
          <w:b/>
        </w:rPr>
        <w:t>E. 2</w:t>
      </w:r>
    </w:p>
    <w:p>
      <w:r>
        <w:t>Die Beschwerdeführerin wirft der Vorinstanz diverse Verletzungen der aus dem Anspruch auf rechtliches Gehör gemäss Art. 29 Abs. 2 BV fliessenden Begründungs-, Prüfungs- und Berücksichtigungspflicht vor. Die Vorinstanz habe sich mit wesentlichen Vorbringen der Beschwerdeführerin nicht sorgfältig und ernsthaft auseinandergesetzt, so namentlich mit ihren Ausführungen zum Novenrecht, zur Frage der Zuständigkeit des Kantonsgerichts, zur Benutzung der Technologie des Thermodiffusionsverfahrens durch die Beschwerdeführerin, zur Bestimmtheit der Rechtsbegehren, zur Aktivlegitimation der Beschwerdegegnerin, zur Verwirkung eines allfälligen Anspruchs im Massnahmeverfahren, zu Fragen des UWG und zur Frage des nicht wiedergutzumachenden Nachteils.</w:t>
      </w:r>
    </w:p>
    <w:p>
      <w:r>
        <w:rPr>
          <w:b/>
        </w:rPr>
        <w:t>E. 2.1</w:t>
      </w:r>
    </w:p>
    <w:p>
      <w:r>
        <w:t>Der Grundsatz des rechtlichen Gehörs ( Art. 29 Abs. 2 BV ) verlangt, dass das Gericht die Vorbringen des Betroffenen tatsächlich hört, sorgfältig und ernsthaft prüft und in der Entscheidfindung berücksichtigt. In seiner Entscheidbegründung muss es wenigstens kurz die wesentlichen Überlegungen darlegen, von denen es sich hat leiten lassen, so dass der Betroffene den Entscheid in voller Kenntnis der Sache anfechten kann. Das Gericht kann sich dabei auf die wesentlichen Gesichtspunkte und Leitlinien beschränken und braucht sich nicht mit jedem sachverhaltlichen oder rechtlichen Einwand auseinanderzusetzen (vgl. BGE 126 III 97 E. 2b S. 102; 130 II 530 E. 4.3 S. 540).</w:t>
      </w:r>
    </w:p>
    <w:p>
      <w:r>
        <w:rPr>
          <w:b/>
        </w:rPr>
        <w:t>E. 2.2</w:t>
      </w:r>
    </w:p>
    <w:p>
      <w:r>
        <w:t>Diese Grundsätze verkennt die Beschwerdeführerin. Sie übersieht insbesondere, dass eine Gehörsverletzung nicht schon dann vorliegt, wenn die Vorinstanz lediglich eine andere Rechtsauffassung vertritt als die von ihr plädierte. Wenn das Kantonsgericht etwa zum Schluss kommt, die Beschwerdeführerin habe nicht aufgezeigt, warum ihre rechtlichen bzw. tatsächlichen Einwände und Vorbringen betreffend die Bekanntheit des Thermodiffusionsverfahrens nicht früher möglich waren, liegt darin eine Wertung der Argumente der Beschwerdeführerin, nicht deren Nichtberücksichtigung. Was die von der Vorinstanz angeblich nicht berücksichtigten Argumente betreffend die Klagelegitimation der Beschwerdegegnerin anbelangt, übersieht die Beschwerdeführerin zudem, dass das Kantonsgericht diese jedenfalls indirekt widerlegt, indem es ausführlich begründet hat, weshalb es die Beschwerdegegnerin gestützt auf Lauterkeitsrecht für aktivlegitimiert hält. Das Gleiche gilt im Zusammenhang mit den Erörterungen betreffend die angebliche Unbestimmtheit der von der Beschwerdegegnerin gestellten Rechtsbegehren, die Anwendbarkeit des UWG bzw. das Vorliegen eines nicht wiedergutzumachenden Nachteils. Die Vorinstanz hat diesbezüglich ihre Rechtsauffassung durchaus detailliert begründet. Wenn sie dabei nicht jeden rechtlichen Einwand der Beschwerdeführerin ausdrücklich widerlegt hat, ist dies unschädlich. Offensichtlich unzutreffend ist sodann die Behauptung der Beschwerdeführerin, die Vorinstanz habe sich nicht mit ihren Vorbringen betreffend ihre (Nicht-)Benutzung der Technologie des Thermodiffusionsverfahrens auseinandergesetzt. In Erwägung 3e des angefochtenen Entscheids geht die Vorinstanz sowohl auf den von der Beschwerdeführerin ins Recht gelegten ICC-Schiedsentscheid als auch auf die Zeugenaussagen der Vertreterin der Beschwerdeführerin ein. Von einer Verletzung der gehörsrechtlichen Prüfungs- und Berücksichtigungspflicht kann keine Rede sein.</w:t>
      </w:r>
    </w:p>
    <w:p>
      <w:r>
        <w:rPr>
          <w:b/>
        </w:rPr>
        <w:t>E. 3</w:t>
      </w:r>
    </w:p>
    <w:p>
      <w:r>
        <w:t>Im Zusammenhang mit ihren Einwänden und Vorbringen betreffend die Bekanntheit des Thermodiffusionsverfahrens rügt die Beschwerdeführerin weiter eine Verletzung des aus Art. 29 Abs. 2 BV fliessenden Rechts auf Beweis sowie eine willkürliche Beweiswürdigung. Die Vorinstanz habe mehrmals rechtzeitig und formrichtig vorgebrachte Sachbehauptungen und Beweisofferten ausser Acht gelassen. Die Annahme des Kantonsgerichts, diese Technologie gehöre nicht zum bekannten Stand der Technik, beruhe zudem auf einseitiger Beweiswürdigung und sei daher willkürlich. Hätte die Vorinstanz die von der Beschwerdeführerin angebotenen Beweismittel zur Kenntnis genommen, wäre sie nach Auffassung der Beschwerdeführerin "zwingend" zum gegenteiligen Resultat gekommen.</w:t>
      </w:r>
    </w:p>
    <w:p>
      <w:r>
        <w:rPr>
          <w:b/>
        </w:rPr>
        <w:t>E. 3.1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w:t>
      </w:r>
    </w:p>
    <w:p>
      <w:r>
        <w:rPr>
          <w:b/>
        </w:rPr>
        <w:t>E. 3.2</w:t>
      </w:r>
    </w:p>
    <w:p>
      <w:r>
        <w:t>Nach ständiger bundesgerichtlicher Rechtsprechung liegt Willkür in der Beweiswürdigung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w:t>
      </w:r>
    </w:p>
    <w:p>
      <w:r>
        <w:rPr>
          <w:b/>
        </w:rPr>
        <w:t>E. 3.3</w:t>
      </w:r>
    </w:p>
    <w:p>
      <w:r>
        <w:t>Gemäss den Ausführungen der Vorinstanz sind die fraglichen Beweismittel im kantonalen Verfahren nicht fristgerecht eingereicht worden und wären auch unter novenrechtlichen Aspekten nicht mehr zu berücksichtigen gewesen. Dass die Vorinstanz das kantonale Prozessrecht willkürlich angewendet hätte, macht die Beschwerdeführerin nicht geltend. Die Vorinstanz hat folglich weder das Recht auf Beweis gemäss Art. 29 Abs. 2 BV verletzt noch eine willkürliche Beweiswürdigung vorgenommen, da sie verspätet angebotene Beweismittel nicht entgegenzunehmen und damit bei der Beweiswürdigung auch nicht zu berücksichtigen brauchte.</w:t>
      </w:r>
    </w:p>
    <w:p>
      <w:r>
        <w:rPr>
          <w:b/>
        </w:rPr>
        <w:t>E. 4</w:t>
      </w:r>
    </w:p>
    <w:p>
      <w:r>
        <w:t>Im Zusammenhang mit den Gehörsrügen moniert die Beschwerdeführerin auch eine Verletzung ihres Anspruchs auf gleiche und gerechte Behandlung gemäss Art. 29 Abs. 1 BV , indem die Vorinstanz in mindestens elf Fällen ihren Anspruch auf rechtliches Gehör verletzt und ihre Vorbringen "systematisch nicht gehört und geprüft", während sie die einzelnen Argumente der Beschwerdegegnerin "gehört und akzeptiert" habe. Wie sich aus den vorangehenden Erwägungen ergibt, kann der Vorinstanz keine Gehörsverletzung vorgeworfen werden, womit sich auch diese Rüge als unbegründet erweist.</w:t>
      </w:r>
    </w:p>
    <w:p>
      <w:r>
        <w:rPr>
          <w:b/>
        </w:rPr>
        <w:t>E. 5</w:t>
      </w:r>
    </w:p>
    <w:p>
      <w:r>
        <w:t>Die Beschwerdeführerin wirft der Vorinstanz sodann Willkür bei der Rechtsanwendung vor, indem diese gestützt auf Lauterkeitsrecht einen Unterlassungsanspruch der Beschwerdegegnerin gegen die Beschwerdeführerin bezüglich der Verwendung von Know-how bejaht habe, obwohl Art. 111 PatG einen solchen für die Dauer, in der eine Patentanmeldung für das fragliche Know-how hängig ist, ausdrücklich nicht vorsehe. Damit liege ein Verstoss gegen die sog. "Umwegtheorie" vor, wonach nicht auf dem Umweg über das Wettbewerbsrecht verboten werden dürfe, was nach den immaterialgüterrechtlichen Spezialgesetzen erlaubt sei.</w:t>
      </w:r>
    </w:p>
    <w:p>
      <w:r>
        <w:rPr>
          <w:b/>
        </w:rPr>
        <w:t>E. 5.1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135 V 2 E. 1.3; 134 II 124 E. 4.1; 133 I E. 3.1).</w:t>
      </w:r>
    </w:p>
    <w:p>
      <w:r>
        <w:rPr>
          <w:b/>
        </w:rPr>
        <w:t>E. 5.2</w:t>
      </w:r>
    </w:p>
    <w:p>
      <w:r>
        <w:t>Das Bundesgericht hat mehrfach festgehalten, dass Leistungen oder Arbeitsergebnisse, die als solche keinen Immaterialgüterschutz geniessen, von jedermann genutzt werden dürfen ( BGE 131 III 384 E. 5.1 mit zahlreichen Hinweisen; zuletzt Urteil 4A_86/2009 vom 26. Mai 2009 E. 4.1). Das Lauterkeitsrecht enthält kein generelles Verbot, fremde Leistungen nachzuahmen, sondern es besteht grundsätzlich Nachahmungsfreiheit. Das UWG bezweckt die Gewährleistung der Lauterkeit des Wettbewerbs, während es dem Immaterialgüterrecht vorbehalten ist, besondere Leistungen als solche zu schützen. Leistungen sind daher durch das UWG nicht als solche, sondern nur bei Vorliegen lauterkeitsrechtlich relevanter Umstände gegen Übernahme und Nachahmung geschützt, wie namentlich vermeidbarer Herkunftstäuschung, Rufausbeutung, hinterlistigem Verhalten oder behinderndem systematischem Vorgehen ( BGE 131 III 384 E. 5.1 mit zahlreichen Hinweisen).</w:t>
      </w:r>
    </w:p>
    <w:p>
      <w:r>
        <w:rPr>
          <w:b/>
        </w:rPr>
        <w:t>E. 5.3</w:t>
      </w:r>
    </w:p>
    <w:p>
      <w:r>
        <w:t>Die Vorinstanz ist - unter Verweis auf die Ausführungen des Instruktionsrichters - zum Schluss gelangt, dass spezifische Unlauterkeitsgründe im Sinne des UWG vorliegen. Die Beschwerdeführerin habe namentlich das ihr anvertraute Arbeitsergebnis der Y.________ SA verwertet. Darin sieht die Vorinstanz einen Anwendungsfall von Art. 5 lit. a UWG . Die Beschwerdeführerin legt weder dar noch ist ersichtlich, inwiefern die Vorinstanz damit eine Norm des Lauterkeits- bzw. Patentrechts krass verletzt oder offensichtlich gegen die bundesgerichtliche Praxis zur sog. "Umwegtheorie" verstossen hätte. Sie begnügt sich vielmehr damit, ihre eigene Rechtsauffassung darzulegen, ohne sich mit der ausführlichen Begründung der Vorinstanz bzw. des Instruktionsrichters auseinanderzusetzen. Die Rüge erweist sich mithin als unbegründet, soweit überhaupt darauf einzutreten ist.</w:t>
      </w:r>
    </w:p>
    <w:p>
      <w:r>
        <w:rPr>
          <w:b/>
        </w:rPr>
        <w:t>E. 6</w:t>
      </w:r>
    </w:p>
    <w:p>
      <w:r>
        <w:t>Für den Fall, dass das UWG anwendbar wäre, rügt die Beschwerdeführerin die willkürliche Annahme einer Anspruchsgrundlage gemäss Art. 5 UWG , die willkürliche Bejahung der Dringlichkeit der vorsorglichen Massnahme und des nicht leicht wiedergutzumachenden Nachteils der Beschwerdegegnerin.</w:t>
      </w:r>
    </w:p>
    <w:p>
      <w:r>
        <w:rPr>
          <w:b/>
        </w:rPr>
        <w:t>E. 6.1</w:t>
      </w:r>
    </w:p>
    <w:p>
      <w:r>
        <w:t>Soweit sich die Beschwerdeführerin gegen die Anwendung von Art. 5 UWG richtet, bringt sie erneut vor, die ihr von der Y.________ SA anvertraute Technologie sei entgegen den Feststellungen der Vorinstanz nicht geheim gewesen. Wie oben in E. 3.3 ausgeführt, ist sie mit diesem bereits vor der Vorinstanz verspätet vorgebrachten Einwand nicht zu hören.</w:t>
      </w:r>
    </w:p>
    <w:p>
      <w:r>
        <w:rPr>
          <w:b/>
        </w:rPr>
        <w:t>E. 6.2</w:t>
      </w:r>
    </w:p>
    <w:p>
      <w:r>
        <w:t>Nicht zu hören ist sie auch mit ihrer Rüge, die Vorinstanz habe die Dringlichkeit einer vorsorglichen Massnahme willkürlich bejaht. Zu ihrer Begründung bringt sie Tatsachenbehauptungen vor, die im vorinstanzlich festgestellten Sachverhalt keine Stütze finden, und setzt sich im Übrigen auch nicht in einer den Begründungsanforderungen gemäss Art. 106 Abs. 2 BGG genügenden Weise mit den Erwägungen der Vorinstanz auseinander. Eine willkürliche Rechtsanwendung vermag sie nicht aufzuzeigen.</w:t>
      </w:r>
    </w:p>
    <w:p>
      <w:r>
        <w:rPr>
          <w:b/>
        </w:rPr>
        <w:t>E. 6.3</w:t>
      </w:r>
    </w:p>
    <w:p>
      <w:r>
        <w:t>Schliesslich bringt die Beschwerdeführerin sinngemäss vor, der Beschwerdegegnerin entstehe kein Marktnachteil, wenn die Beschwerdeführerin das Thermodiffusionsverfahren benutze. Denn es treffe entgegen der Auffassung der Vorinstanz nicht zu, dass der Massnahmenentscheid vom 1. April 2009 der Beschwerdegegnerin verbiete, ihrerseits diese Technologie zu verwenden. Dieser Entscheid untersage vielmehr nur die rechtliche Verfügung über die Patentanmeldungen, denen das Thermodiffusionsverfahren zugrunde liegt; eine tatsächliche Verfügung über die Technologie sei weiterhin möglich. Bei dieser Interpretation verkennt die Beschwerdeführerin, dass der Massnahmenentscheid vom 1. April 2009 der Beschwerdegegnerin in allgemeiner Weise eine Verfügung über den Streitgegenstand verbietet ("Der X.________ SA wird ... verboten, ... den Streitgegenstand ... an einen Dritten zu übertragen oder sonst wie ohne vorherige schriftliche Zustimmung der W.________ GmbH darüber zu verfügen"). Es ist daher nicht willkürlich, wenn die Vorinstanz daraus schliesst, dass die Beschwerdegegnerin die Technologie Dritten nicht nur rechtlich, sondern auch tatsächlich nicht zugänglich machen darf und damit als nicht-produzierendes Unternehmen gegenüber der Beschwerdeführerin hinsichtlich des Markteintritts benachteiligt wäre.</w:t>
      </w:r>
    </w:p>
    <w:p>
      <w:r>
        <w:rPr>
          <w:b/>
        </w:rPr>
        <w:t>E. 7</w:t>
      </w:r>
    </w:p>
    <w:p>
      <w:r>
        <w:t>Die Beschwerdeführerin wirft der Vorinstanz sodann Willkür bei der Rechtsanwendung vor, indem diese den territorialen Geltungsbereich des im vorliegend angefochtenen Entscheid ausgesprochenen Verbots in Verletzung von Art. 136 IPRG auf die ganze Welt ausgedehnt habe. Sofern schweizerisches Recht überhaupt Anwendung finde, beschränke sich dessen Geltungsbereich auf das Gebiet der Schweiz. Nach deutschem Recht sei das Verhalten der Beschwerdeführerin jedenfalls erlaubt.</w:t>
      </w:r>
    </w:p>
    <w:p>
      <w:r>
        <w:rPr>
          <w:b/>
        </w:rPr>
        <w:t>E. 7.1</w:t>
      </w:r>
    </w:p>
    <w:p>
      <w:r>
        <w:t>Aufgrund des Territorialitätsprinzips beschränkt sich die räumliche Geltung des UWG grundsätzlich auf das Gebiet der Schweiz (statt aller VON BÜREN/MARBACH/DUCREY, Immaterialgüter- und Wettbewerbsrecht, 3. Aufl., 2008, Rz. 1073). Für privatrechtliche Ansprüche aus unlauterem Wettbewerb in internationalen Sachverhalten gilt hingegen das Marktauswirkungsprinzip (dazu BGE 136 III 23 E. 6.1). Danach unterstehen solche Ansprüche grundsätzlich dem Recht des Staates, auf dessen Markt die unlautere Handlung ihre Wirkung entfaltet ( Art. 136 Abs. 1 IPRG ; sog. Marktauswirkungsprinzip: vgl. BGE 136 III 23 E. 6.1). Als Markt gilt derjenige Ort im Sinne eines Staatsgebiets, an dem der Wettbewerber mit seinem Angebot auftritt, mit allfälligen Mitbewerbern in Konkurrenz tritt und sich an potentielle Abnehmer richtet; massgebend ist der Ort der Marktgegenseite, d.h. das Umfeld des potentiellen Abnehmers ( BGE 136 III 23 E. 6.1 mit Hinweisen). Wirkt sich eine im Ausland getätigte, unlautere Handlung mithin auf den schweizerischen Markt aus, findet darauf das schweizerische UWG Anwendung (vgl. vON BÜREN/MARBACH/DUCREY, a.a.O., Rz. 1073). Eine Ausnahme vom Marktauswirkungsprinzip sieht Art. 136 Abs. 2 IPRG vor: Danach ist im Falle, in dem sich die Rechtsverletzung ausschliesslich gegen betriebliche Interessen des Geschädigten richtet, das Recht des Staates anzuwenden, in dem sich die betroffene Niederlassung befindet ( Art. 136 Abs. 2 IPRG ).</w:t>
      </w:r>
    </w:p>
    <w:p>
      <w:r>
        <w:rPr>
          <w:b/>
        </w:rPr>
        <w:t>E. 7.2</w:t>
      </w:r>
    </w:p>
    <w:p>
      <w:r>
        <w:t>Nach Auffassung der Beschwerdeführerin liegt kein Fall des Art. 136 Abs. 2 IPRG vor, weshalb das Recht des Staates anzuwenden sei, auf dessen Markt die unlautere Handlung ihre Wirkung entfaltet. Darin erschöpfen sich allerdings ihre Ausführungen zur angeblich willkürlichen Anwendung bzw. Nichtanwendung von Art. 136 Abs. 1 IPRG ; die Beschwerdeführerin legt namentlich nicht dar, inwiefern aufgrund der Feststellungen im angefochtenen Entscheid gestützt auf Art. 136 Abs. 1 IPRG ein anderes als das Schweizer Recht anzuwenden wäre. Sie zeigt damit auch nicht in einer den Begründungsanforderungen gemäss Art. 106 Abs. 2 BGG genügenden Weise auf, inwiefern die Vorinstanz das Willkürverbot verletzt hätte, wenn sie von der Anwendbarkeit des schweizerischen UWG ausgegangen ist. Auf die Rüge ist nicht einzutreten.</w:t>
      </w:r>
    </w:p>
    <w:p>
      <w:r>
        <w:rPr>
          <w:b/>
        </w:rPr>
        <w:t>E. 8</w:t>
      </w:r>
    </w:p>
    <w:p>
      <w:r>
        <w:t>Schliesslich rügt die Beschwerdeführerin, die Vorinstanz sei zum Erlass des Massnahmenentscheids nicht zuständig. Sie bestreitet das Vorliegen eines Sachzusammenhangs zwischen der Haupt- und der Widerklage, weshalb sich die Vorinstanz nicht gestützt auf Art. 6 Ziff. 3 LugÜ für örtlich zuständig erklären könne. In ihrer Begründung beschränkt sich die Beschwerdeführerin jedoch auf die blosse, in den vorinstanzlichen Sachverhaltsfeststellungen keine Stütze findende Tatsachenbehauptung, die der Patentanmeldung zugrunde liegende Technologie stimme nicht mit der der Beschwerdeführerin von der Y.________ SA anvertrauten Technologie überein. Mit den Ausführungen der Vorinstanz setzt sie sich nicht auseinander und zeigt damit auch nicht auf, inwiefern die Vorinstanz Art. 6 Ziff. 3 LugÜ willkürlich angewendet hätte. Das gleiche gilt für die Rüge, mit der sich die Beschwerdeführerin gegen die sachliche Zuständigkeit der Vorinstanz richtet: Auch hier vermag die Beschwerdeführerin keine krasse Verletzung der einschlägigen Normen (Art. 149 Abs. 3 GOG/FR bzw. Art. 12 Abs. 2 UWG ) aufzuzeigen.</w:t>
      </w:r>
    </w:p>
    <w:p>
      <w:r>
        <w:rPr>
          <w:b/>
        </w:rPr>
        <w:t>E. 9</w:t>
      </w:r>
    </w:p>
    <w:p>
      <w:r>
        <w:t>Nach dem Gesagten ist die Beschwerde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