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4A_615/2023 vom 22. Dezember 2023</w:t>
      </w:r>
    </w:p>
    <w:p>
      <w:r>
        <w:t>Bundesgericht, 2023-12-22, DE</w:t>
      </w:r>
    </w:p>
    <w:p>
      <w:r>
        <w:rPr>
          <w:b/>
        </w:rPr>
        <w:t xml:space="preserve">Quelle: </w:t>
      </w:r>
      <w:r>
        <w:t>https://mcp.opencaselaw.ch/entscheid/bger_4A_615_2023</w:t>
      </w:r>
    </w:p>
    <w:p>
      <w:r>
        <w:t>FR: TF 4A_615/2023 du 22 décembre 2023</w:t>
      </w:r>
    </w:p>
    <w:p>
      <w:r>
        <w:t>IT: TF 4A_615/2023 del 22 dicembre 2023</w:t>
      </w:r>
    </w:p>
    <w:p>
      <w:pPr>
        <w:pStyle w:val="Heading2"/>
      </w:pPr>
      <w:r>
        <w:t>Erwägungen</w:t>
      </w:r>
    </w:p>
    <w:p>
      <w:r>
        <w:rPr>
          <w:b/>
        </w:rPr>
        <w:t>E. 1</w:t>
      </w:r>
    </w:p>
    <w:p>
      <w:r>
        <w:t>Mit Entscheid vom 27. September 2023 verurteilte das Verwaltungsgericht des Kantons Thurgau die Beschwerdeführerin, der Beschwerdegegnerin Fr. 71'598.70 zuzüglich Zins zu 5 % seit 29. Juni 2022 zu bezahlen und beseitigte in diesem Umfang den Rechtsvorschlag in der eingeleiteten Betreibung.</w:t>
      </w:r>
    </w:p>
    <w:p>
      <w:r>
        <w:t>Am 6. Dezember 2023 stellte das Verwaltungsgericht gestützt auf Art. 336 Abs. 2 ZPO eine Vollstreckbarkeitsbescheinigung aus.</w:t>
      </w:r>
    </w:p>
    <w:p>
      <w:r>
        <w:t>Mit Eingabe vom 19. Dezember 2023 erklärte die Beschwerdeführerin dem Bundesgericht, die Vollstreckbarkeitsbescheinigung mit Beschwerde anfechten zu wollen.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Die Vollstreckbarkeitsbescheinigung nach Art. 336 Abs. 2 ZPO ist weder ein Entscheid noch eine prozessleitende Verfügung, sondern ein blosses Beweismittel. Als solches ist sie nicht anfechtbar (Urteile 5A_670/2021 vom 29. April 2022 E. 1.1.1; 4A_ 593/2017 vom 20. August 2018 E. 3.2.1, nicht publ. in BGE 144 III 404 ).</w:t>
      </w:r>
    </w:p>
    <w:p>
      <w:r>
        <w:t>Die Beschwerde erweist sich daher als unzulässig, weshalb darauf im Verfahren nach Art. 108 Abs. 1 lit. a BGG nicht einzutreten ist.</w:t>
      </w:r>
    </w:p>
    <w:p>
      <w:r>
        <w:rPr>
          <w:b/>
        </w:rPr>
        <w:t>E. 2.2</w:t>
      </w:r>
    </w:p>
    <w:p>
      <w:r>
        <w:t>Dem Gesuch um Wiederherstellung der Frist ( Art. 50 BGG ) zur Einreichung der Beschwerde kann schon deshalb nicht stattgegeben werden, weil diese Frist noch nicht abgelaufen ist. Eine Beschwerde gegen den Entscheid des Verwaltungsgerichts des Kantons Thurgau vom 27. September 2023 wäre innert der Frist von Art. 100 Abs. 1 BGG einzureichen, die nicht erstreckbar ist ( Art. 47 Abs. 1 BGG ), indessen vom 18. Dezember bis und mit dem 2. Januar still steht ( Art. 46 Abs. 1 lit. c BGG ). Mit Einreichung der Beschwerde kann um Gewährung der aufschiebenden Wirkung ersucht werden. Ein solches Gesuch an das Bundesgericht ist hingegen unzulässig, wenn beim Bundesgericht kein Rechtsmittelverfahren in der Hauptsache hängig ist (Urteil 2C_1080/2017 vom 28. Dezember 2017).</w:t>
      </w:r>
    </w:p>
    <w:p>
      <w:r>
        <w:rPr>
          <w:b/>
        </w:rPr>
        <w:t>E. 3</w:t>
      </w:r>
    </w:p>
    <w:p>
      <w:r>
        <w:t>Mit dem Entscheid in der Sache wird das Gesuch um Erteilung der aufschiebenden Wirkung gegenstandslos.</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