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4A_615/2012 vom 29. November 2012</w:t>
      </w:r>
    </w:p>
    <w:p>
      <w:r>
        <w:t>Bundesgericht, 2012-11-29, DE</w:t>
      </w:r>
    </w:p>
    <w:p>
      <w:r>
        <w:rPr>
          <w:b/>
        </w:rPr>
        <w:t xml:space="preserve">Quelle: </w:t>
      </w:r>
      <w:r>
        <w:t>https://mcp.opencaselaw.ch/entscheid/bger_4A_615_2012</w:t>
      </w:r>
    </w:p>
    <w:p>
      <w:r>
        <w:t>FR: TF 4A_615/2012 du 29 novembre 2012</w:t>
      </w:r>
    </w:p>
    <w:p>
      <w:r>
        <w:t>IT: TF 4A_615/2012 del 29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500.-- werden dem Beschwerdeführer auferlegt.</w:t>
      </w:r>
    </w:p>
    <w:p>
      <w:r>
        <w:rPr>
          <w:b/>
        </w:rPr>
        <w:t>E. 3</w:t>
      </w:r>
    </w:p>
    <w:p>
      <w:r>
        <w:t>Dieses Urteil wird den Parteien und dem Obergericht des Kantons Bern, Zivilabteilung, 1. Zivilkammer, schriftlich mitgeteilt.</w:t>
      </w:r>
    </w:p>
    <w:p>
      <w:r>
        <w:t>Lausanne, 29. November 2012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Klett</w:t>
      </w:r>
    </w:p>
    <w:p>
      <w:r>
        <w:t>Der Gerichtsschreiber: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