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614/2018 vom 8. Oktober 2019</w:t>
      </w:r>
    </w:p>
    <w:p>
      <w:r>
        <w:t>Bundesgericht, 2019-10-08, FR</w:t>
      </w:r>
    </w:p>
    <w:p>
      <w:r>
        <w:rPr>
          <w:b/>
        </w:rPr>
        <w:t xml:space="preserve">Quelle: </w:t>
      </w:r>
      <w:r>
        <w:t>https://mcp.opencaselaw.ch/entscheid/bger_4A_614_2018</w:t>
      </w:r>
    </w:p>
    <w:p>
      <w:r>
        <w:t>FR: TF 4A 614/2018 du 8 octobre 2019</w:t>
      </w:r>
    </w:p>
    <w:p>
      <w:r>
        <w:t>IT: TF 4A 614/2018 del 8 ottobre 2019</w:t>
      </w:r>
    </w:p>
    <w:p>
      <w:pPr>
        <w:pStyle w:val="Heading2"/>
      </w:pPr>
      <w:r>
        <w:t>Regeste</w:t>
      </w:r>
    </w:p>
    <w:p>
      <w:r>
        <w:t>double motivation; irrecevabilité | Droit des contrats</w:t>
      </w:r>
    </w:p>
    <w:p>
      <w:pPr>
        <w:pStyle w:val="Heading2"/>
      </w:pPr>
      <w:r>
        <w:t>Erwägungen</w:t>
      </w:r>
    </w:p>
    <w:p>
      <w:r>
        <w:rPr>
          <w:b/>
        </w:rPr>
        <w:t>E. 1.1</w:t>
      </w:r>
    </w:p>
    <w:p>
      <w:r>
        <w:t>Le recours en matière civile étant un recours en réforme (cf. art. 107 al. 2 LTF ), les parties recourantes doivent en principe prendre des conclusions sur le fond et non se borner à conclure à l'annulation de l'arrêt attaqué; elles ne peuvent s'abstenir de conclusions sur le fond que si le Tribunal fédéral, dans l'hypothèse où il admettrait le recours, ne serait pas en mesure de statuer lui-même sur le fond ( ATF 134 III 379 consid. 1.3 p. 383; 133 III 489 consid. 3.1 p. 489 s.). Contrairement à ce que pense l'intimée, cette dernière hypothèse est réalisée en l'espèce (cf. aussi infra consid. 2.4) et le recours est donc recevable à cet égard.</w:t>
      </w:r>
    </w:p>
    <w:p>
      <w:r>
        <w:rPr>
          <w:b/>
        </w:rPr>
        <w:t>E. 1.2</w:t>
      </w:r>
    </w:p>
    <w:p>
      <w:r>
        <w:t>Formé en temps utile (art. 100 al. 1 et 45 al. 1 LTF), dirigé contre une décision finale ( art. 90 LTF ), rendue sur appel des demandeurs par le tribunal supérieur du canton ( art. 75 LTF ) dans une affaire relevant de la responsabilité contractuelle ( art. 72 al. 1 LTF ), dont la valeur litigieuse excède 30'000 fr. ( art. 74 al. 1 let. b LTF ), le recours en matière civile est recevable au regard de ces dispositions. C'est en vain que l'intimée soutient que la motivation du recours ne répond pas (globalement) aux exigences de motivation posées par l' art. 42 al. 2 LTF . Certes succincte sur certains points et entrecoupée de longs passages de l'arrêt cantonal ou d'écritures précédentes, la motivation des recourants n'en permet pas moins de comprendre en quoi l'arrêt cantonal viole, selon eux, le droit.</w:t>
      </w:r>
    </w:p>
    <w:p>
      <w:r>
        <w:rPr>
          <w:b/>
        </w:rPr>
        <w:t>E. 2</w:t>
      </w:r>
    </w:p>
    <w:p>
      <w:r>
        <w:t>Il résulte de l'arrêt attaqué que, le 20 décembre 2016, le premier juge a statué sur la recevabilité des conclusions modifiées (retrait de la conclusion principale) du 29 janvier 2016. L'arrêt cantonal ne contient par contre pas la motivation à l'origine de cette décision. Les juges précédents ne font en outre aucune mention de l'ordonnance du 6 juin 2016, par laquelle le premier juge a limité la procédure à la question des conséquences du retrait de la conclusion principale (délivrance des actions) (jugement de première instance p. 8). Partant, on ignore s'il s'agissait d'un jugement incident ( art. 237 al. 1 CPC ), contre lequel un appel immédiat aurait pu être formé ( art. 237 al. 2 CPC ). Il n'y a toutefois pas lieu de compléter l'arrêt entrepris sur ces différents points et, en particulier, il n'est pas nécessaire de procéder à l'examen de l' art. 237 al. 1 CPC , le recours - qui porte exclusivement sur la question du dommage (soit la prétention des demandeurs d'un montant de 447'500 USD) - devant quoi qu'il en soit être admis.</w:t>
      </w:r>
    </w:p>
    <w:p>
      <w:r>
        <w:rPr>
          <w:b/>
        </w:rPr>
        <w:t>E. 3.1</w:t>
      </w:r>
    </w:p>
    <w:p>
      <w:r>
        <w:t>En substance, le premier juge considère que les demandeurs - qui n'ont à aucun moment allégué ni, partant, établi, que le demandeur initial (le défunt) avait effectivement l'intention de revendre les actions le 11 novembre 2013 (au prix unitaire de 42.90 USD) - ne pouvaient se baser sur la valeur des actions à cette date pour fonder leurs prétentions. Il relève au contraire que le demandeur initial a poursuivi l'exécution du contrat jusqu'à son décès (novembre 2015) et que, pendant l'année 2015, le cours des actions est descendu en dessous du prix auquel il a donné l'ordre d'acquisition à la banque. Il conclut que les demandeurs ont échoué à démontrer l'existence d'un dommage. Le premier juge ajoute " par ailleurs " que, même en partant de l'hypothèse qu'un dommage aurait été causé, toute indemnisation serait exclue, puisque le demandeur, en n'acquérant pas les titres à une époque où leur valeur se situait en dessous du seuil de 25 USD (ce dont il était informé), aurait fait fi de son devoir de réduire le dommage (cf. art. 44 al. 1 CO ). La Cour de justice discerne " deux motivations subsidiaires " (en réalité, l'une principale et l'autre subsidiaire), soit une " double motivation ", chacune suffisant à sceller le sort de la cause. Relevant que les demandeurs (alors appelants) n'ont pas attaqué la motivation subsidiaire et qu'ils n'ont donc pas respecté les exigences tirées de l' art. 311 CPC , elle a prononcé l'irrecevabilité de l'appel.</w:t>
      </w:r>
    </w:p>
    <w:p>
      <w:r>
        <w:rPr>
          <w:b/>
        </w:rPr>
        <w:t>E. 3.2</w:t>
      </w:r>
    </w:p>
    <w:p>
      <w:r>
        <w:t>Il est de jurisprudence que si une décision comporte une double motivation (i.e deux motivations indépendantes, alternatives ou subsidiaires), il incombe au recourant, sous peine d'irrecevabilité, de démontrer que chacune d'elles est contraire au droit (en application de l' art. 42 LTF , cf. ATF 138 III 728 consid. 3.4; 136 III 534 consid. 2). Cette jurisprudence trouve également application sous l'empire du CPC (cf. art. 311 CPC ; arrêts 4A_90/2017 du 12 mai 2017; 4A_525/2014 du 5 mai 2014 consid. 3). On ne peut parler de double motivation que si chacun de ses pans suffit à sceller le sort de la cause.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(arrêt 4A_525/2014 déjà cité consid. 3).</w:t>
      </w:r>
    </w:p>
    <w:p>
      <w:r>
        <w:rPr>
          <w:b/>
        </w:rPr>
        <w:t>E. 3.3</w:t>
      </w:r>
    </w:p>
    <w:p>
      <w:r>
        <w:t>En l'espèce, la cour cantonale se méprend lorsqu'elle affirme que les deux motivations du premier juge peuvent chacune sceller le sort du litige. Le moment déterminant, pour le calcul du dommage, est le 11 novembre 2013, date à laquelle les demandeurs prétendent qu'ils auraient revendu les 25'000 actions au prix unitaire de 42,9 USD. Ils chiffrent ainsi leur dommage à 447'500 USD (25'000 actions x 42.9 USD - 25'000 actions x 25 USD). La première motivation (les demandeurs n'ont pas allégué ni prouvé avoir l'intention de revendre les actions le 11 novembre 2013) scelle le sort du litige. En revanche, la seconde motivation (qui part de l'hypothèse qu'un dommage a été causé et que le demandeur aurait pu ensuite l'écarter entièrement) est en soi impropre à sceller le sort de la cause. Pour autant qu'on la comprenne bien, elle part de la prémisse (erronée) selon laquelle le dommage aurait été écarté si le demandeur avait acquis les actions ultérieurement en 2015 (à un prix égal ou en dessous du prix unitaire de 25 USD). Cela étant, la cour cantonale ne calcule pas le dommage en fonction du (seul) critère ici déterminant, à savoir la différence, existant au 11 novembre 2013, entre la valeur du portefeuille géré en violation du mandat et celle du même portefeuille géré correctement. En déclarant l'appel irrecevable au motif que les demandeurs n'auraient pas attaqué une motivation subsidiaire scellant le sort de la cause (arrêt entrepris p. 8 in fine ), les magistrats précédents ont dès lors violé l' art. 311 CPC .</w:t>
      </w:r>
    </w:p>
    <w:p>
      <w:r>
        <w:rPr>
          <w:b/>
        </w:rPr>
        <w:t>E. 3.4</w:t>
      </w:r>
    </w:p>
    <w:p>
      <w:r>
        <w:t>Il n'appartient pas au Tribunal fédéral d'entrer en matière à la place de l'autorité cantonale ( ATF 138 III 46 consid. 1.2 p. 48). Il convient dès lors d'annuler l'arrêt d'irrecevabilité de la Cour de justice et de lui renvoyer la cause pour qu'elle procède à son examen sur le fond. Il lui incombera en particulier d'examiner l'existence d'un dommage, notamment en lien avec le moment auquel la quotité de ce dommage doit être établie. Il est superflu d'examiner les autres griefs soulevés par les recourants.</w:t>
      </w:r>
    </w:p>
    <w:p>
      <w:r>
        <w:rPr>
          <w:b/>
        </w:rPr>
        <w:t>E. 4</w:t>
      </w:r>
    </w:p>
    <w:p>
      <w:r>
        <w:t>Il résulte des considérations qui précèdent que le recours en matière civile est admis. L'arrêt attaqué est annulé et la cause est renvoyée à la cour précédente pour nouvelle décision. Les frais et dépens sont mis à la charge de l'intimée, qui succombe (art. 66 al. 1 et 68 al. 1 et 2 LTF). Les sûretés fournies par les recourants leur seront restituées.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