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4A_612/2024 vom 22. Januar 2025</w:t>
      </w:r>
    </w:p>
    <w:p>
      <w:r>
        <w:t>Bundesgericht, 2025-01-22, FR</w:t>
      </w:r>
    </w:p>
    <w:p>
      <w:r>
        <w:rPr>
          <w:b/>
        </w:rPr>
        <w:t xml:space="preserve">Quelle: </w:t>
      </w:r>
      <w:r>
        <w:t>https://mcp.opencaselaw.ch/entscheid/bger_4A_612_2024</w:t>
      </w:r>
    </w:p>
    <w:p>
      <w:r>
        <w:t>FR: TF 4A_612/2024 du 22 janvier 2025</w:t>
      </w:r>
    </w:p>
    <w:p>
      <w:r>
        <w:t>IT: TF 4A_612/2024 del 22 gennaio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le recourant a employé le français dans le mémoire qu'il a adressé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Le recourant n'avait pas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leur motivation, des moyens invoqués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 d LDIP, dénonce une violation de son droit d'être entendu. Il reproche à l'arbitre d'avoir omis de prendre en considération plusieurs arguments qu'il avait soulevés au cours de la procédure d'arbitrage qui étaient de nature à influer sur le sort du litige.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t>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w:t>
      </w:r>
    </w:p>
    <w:p>
      <w:r>
        <w:t>Pour étayer son moyen pris de la violation de l' art. 190 al. 2 let . d LDIP, le recourant reproche, en substance, à l'arbitre d'avoir omis d'examiner les contradictions qu'il avait décelées entre les divers règlements édictés par l'intimée. Il insiste en particulier sur le fait qu'il n'existerait pas de délai pour présenter une déclaration de renonciation à une indemnité de formation. Selon l'intéressé, l'arbitre a omis, de façon inexplicable, de se pencher plus avant sur la réglementation adoptée par l'intimée. Il se plaint également de ce que l'arbitre n'a pas tenu compte d'une lettre datée du 26 octobre 2023 dans laquelle C.________ confirmait la teneur de sa déclaration de renonciation. Le recourant fait aussi grief à l'arbitre de ne pas avoir pris en considération certains éléments visant à établir que la procédure concernée revêt un caractère disciplinaire et qu'il ne s'agit ainsi pas d'un litige de nature contractuelle opposant deux équipes de football. Il se plaint également de ce que le TAS n'a pas discuté l'argument selon lequel le fait pour l'intimée d'exiger de sa part le paiement d'une indemnité de formation, alors même qu'une déclaration de renonciation a été signée par C.________, était constitutif d'un abus de droit manifeste. Le recourant reproche, enfin, au TAS d'avoir désigné un avocat danois en tant qu'arbitre qui, à son avis, ne possédait pas les connaissances nécessaires en droit suisse, alors même que ledit droit était applicable à titre supplétif.</w:t>
      </w:r>
    </w:p>
    <w:p>
      <w:r>
        <w:rPr>
          <w:b/>
        </w:rPr>
        <w:t>E. 5.3</w:t>
      </w:r>
    </w:p>
    <w:p>
      <w:r>
        <w:t>L'argumentation présentée par le recourant n'emporte nullement la conviction de la Cour de céans. Par sa critique purement appellatoire, l'intéressé, sous le couvert d'une prétendue atteinte à son droit d'être entendu, ne cherche, en réalité, qu'à refaire le procès arbitral, en exposant une nouvelle fois le point de vue juridique qu'il a défendu devant l'arbitre. Semblable démarche est inadmissible en matière d'arbitrage international. En tout état de cause, il ressort de la sentence attaquée que l'arbitre a estimé, à tout le moins implicitement, que les arguments matériels soulevés par le recourant au sujet d'éventuelles incohérences affectant la réglementation édictée par l'intimée ou d'un prétendu comportement incompatible avec les règles de la bonne foi de sa part n'étaient pas de nature à influer sur le sort du litige. Il appert, en effet, que l'arbitre a visiblement considéré qu'il s'agissait bel et bien d'un litige de nature contractuelle intéressant plusieurs équipes de football et que le recourant aurait dû diriger également son appel au TAS contre C.________. Contrairement à ce que soutient le recourant, ce n'est ainsi pas de manière inexpliquée que l'arbitre ne s'est pas penché sur les autres arguments invoqués par l'intéressé se rapportant au contenu de la réglementation édictée par l'intimée et aux conditions auxquelles un club formateur peut renoncer à une indemnité de formation. Aussi est-ce en pure perte que le recourant discute de la portée exacte qu'il conviendrait de donner à certaines règles adoptées par l'intimée. Pour le reste, la critique du recourant, en tant qu'elle porte sur les connaissances et les qualités de l'arbitre, ne relève en aucun cas de l' art. 190 al. 2 let . d LDIP. Il s'ensuit le rejet du grief considéré dans la mesure de sa recevabilité.</w:t>
      </w:r>
    </w:p>
    <w:p>
      <w:r>
        <w:rPr>
          <w:b/>
        </w:rPr>
        <w:t>E. 6</w:t>
      </w:r>
    </w:p>
    <w:p>
      <w:r>
        <w:t>Dans un second moyen, le recourant prétend que la sentence querellée est incompatible avec l'ordre public matériel.</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6.1.2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rPr>
          <w:b/>
        </w:rPr>
        <w:t>E. 6.2</w:t>
      </w:r>
    </w:p>
    <w:p>
      <w:r>
        <w:t>Selon le recourant, l'arbitre n'aurait pas veillé à ce que la procédure soit conduite correctement et aurait ignoré certains principes fondamentaux du droit suisse, tels que celui de la fidélité contractuelle, de la liberté contractuelle, de la liberté personnelle et de la charge de la preuve.</w:t>
      </w:r>
    </w:p>
    <w:p>
      <w:r>
        <w:rPr>
          <w:b/>
        </w:rPr>
        <w:t>E. 6.3</w:t>
      </w:r>
    </w:p>
    <w:p>
      <w:r>
        <w:t>Pareille affirmation tombe à faux. Force est d'emblée de souligner que les quelques paragraphes que l'intéressé consacre à sa démonstration, à grand renfort d'affirmations péremptoires, ne constituent pas une motivation digne de ce nom visant à établir l'existence d'une prétendue contrariété à l'ordre public. Il apparaît en outre que le moyen examiné consiste, dans une très large mesure, en une présentation, sous un autre angle, des critiques similaires formulées antérieurement au soutien du grief tiré de la violation de l' art. 190 al. 2 let . d LDIP qui ont déjà été écartées. Quoi qu'il en soit, le résultat auquel a abouti l'arbitre, eu égard à l'ensemble des circonstances de la cause en litige, n'apparaît nullement contraire à l'ordre public visé par l' art. 190 al. 2 let . e LDIP, ce qui seul importe ici. Il s'ensuit le rejet du grief dans la mesure de sa recevabilité.</w:t>
      </w:r>
    </w:p>
    <w:p>
      <w:r>
        <w:rPr>
          <w:b/>
        </w:rPr>
        <w:t>E. 7</w:t>
      </w:r>
    </w:p>
    <w:p>
      <w:r>
        <w:t>Au vu de ce qui précède, le recours ne peut qu'être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