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4A_612/2023 vom 23. Januar 2024</w:t>
      </w:r>
    </w:p>
    <w:p>
      <w:r>
        <w:t>Bundesgericht, 2024-01-23, DE</w:t>
      </w:r>
    </w:p>
    <w:p>
      <w:r>
        <w:rPr>
          <w:b/>
        </w:rPr>
        <w:t xml:space="preserve">Quelle: </w:t>
      </w:r>
      <w:r>
        <w:t>https://mcp.opencaselaw.ch/entscheid/bger_4A_612_2023</w:t>
      </w:r>
    </w:p>
    <w:p>
      <w:r>
        <w:t>FR: TF 4A_612/2023 du 23 janvier 2024</w:t>
      </w:r>
    </w:p>
    <w:p>
      <w:r>
        <w:t>IT: TF 4A_612/2023 del 23 gennaio 2024</w:t>
      </w:r>
    </w:p>
    <w:p>
      <w:pPr>
        <w:pStyle w:val="Heading2"/>
      </w:pPr>
      <w:r>
        <w:t>Erwägungen</w:t>
      </w:r>
    </w:p>
    <w:p>
      <w:r>
        <w:rPr>
          <w:b/>
        </w:rPr>
        <w:t>E. 1</w:t>
      </w:r>
    </w:p>
    <w:p>
      <w:r>
        <w:t>Mit Entscheid vom 17. August 2023 trat das Bezirksgericht Aarau auf eine vom Beschwerdeführer gegen die Beschwerdegegnerin erhobene Klage nicht ein.</w:t>
      </w:r>
    </w:p>
    <w:p>
      <w:r>
        <w:t>Mit Beschluss vom 1. November 2023 wies das Obergericht des Kantons Aargau eine vom Beschwerdeführer gegen den bezirksgerichtlichen Nichteintretensentscheid vom 17. August 2023 erhobene Berufung ab, soweit es darauf eintrat. In seiner Hauptbegründung erwog das Obergericht, die Berufung erweise sich als verspätet und somit unzulässig. Im Sinne einer Eventualbegründung führte es aus, die Berufung würde sich als offensichtlich unbegründet erweisen, falls darauf einzutreten wäre.</w:t>
      </w:r>
    </w:p>
    <w:p>
      <w:r>
        <w:t>Mit Eingabe vom 15. Dezember 2023 erklärte der Beschwerdeführer dem Bundesgericht, den Entscheid des Obergerichts des Kantons Aargau vom 1. November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15. Dezember 2023 nicht hinreichend mit den eingehenden Erwägungen des angefochtenen Entscheids des Obergerichts des Kantons Aargau vom 1. November 2023 auseinander und zeigt nicht rechtsgenügend auf, inwiefern die Vorinstanz mit ihrem Entscheid Bundesrecht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