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612/2021 vom 6. Januar 2022</w:t>
      </w:r>
    </w:p>
    <w:p>
      <w:r>
        <w:t>Bundesgericht, 2022-01-06, DE</w:t>
      </w:r>
    </w:p>
    <w:p>
      <w:r>
        <w:rPr>
          <w:b/>
        </w:rPr>
        <w:t xml:space="preserve">Quelle: </w:t>
      </w:r>
      <w:r>
        <w:t>https://mcp.opencaselaw.ch/entscheid/bger_4A_612_2021</w:t>
      </w:r>
    </w:p>
    <w:p>
      <w:r>
        <w:t>FR: TF 4A 612/2021 du 6 janvier 2022</w:t>
      </w:r>
    </w:p>
    <w:p>
      <w:r>
        <w:t>IT: TF 4A 612/2021 del 6 gennaio 2022</w:t>
      </w:r>
    </w:p>
    <w:p>
      <w:pPr>
        <w:pStyle w:val="Heading2"/>
      </w:pPr>
      <w:r>
        <w:t>Regeste</w:t>
      </w:r>
    </w:p>
    <w:p>
      <w:r>
        <w:t>Datenschutz, Akteneinsicht, | Vertragsrecht</w:t>
      </w:r>
    </w:p>
    <w:p>
      <w:pPr>
        <w:pStyle w:val="Heading2"/>
      </w:pPr>
      <w:r>
        <w:t>Erwägungen</w:t>
      </w:r>
    </w:p>
    <w:p>
      <w:r>
        <w:rPr>
          <w:b/>
        </w:rPr>
        <w:t>E. 1</w:t>
      </w:r>
    </w:p>
    <w:p>
      <w:r>
        <w:t>Mit Urteil vom 19. Februar 2021 hiess das Bezirksgericht Zürich eine von A. und B. (Kläger; Beschwerdegegner 1 und 2) gegen die Bank D.________ AG (Beklagte; Beschwerdegegnerin 3) erhobene Klage gut und verbot dieser, Auszüge oder Informationen aus oder im Zusammenhang mit ihrem Global Tracking System oder ähnlichen Datensammlungen, aus denen sich die Namen oder andere Personendaten der Kläger ergäben oder ableiten liessen, an Dritte, insbesondere an C.________ (Beschwerdeführer), herauszugeben oder auf andere Weise bekannt zu geben oder zugänglich zu machen (Dispositiv-Ziffern 1 und 2). Zudem verpflichtete es die Beklagte, die Namen und andere Personendaten der Kläger aus den C.________ betreffenden Auszügen und weiteren Informationen im Global Tracking System sowie aus ähnlichen Datensammlungen innert 30 Tagen ab Rechtskraft des Entscheids unwiederbringlich zu löschen (Dispositiv-Ziffer 3). Gleichzeitig beschloss das Bezirksgericht, dass die Öffentlichkeit vom Verfahren ausgeschlossen sei, der Entscheid (Rubrum und Dispositiv) bis zum Ablauf der Rechtsmittelfrist in anonymisierter Fassung auf der Kanzlei aufgelegt werde und Dritten mit Akteneinsichtsrecht der Entscheid und die Akten nur so in anonymisierter Form zugänglich zu machen seien, dass sich keine Rückschlüsse auf die Identität der Kläger ziehen liessen. Mit Eingabe vom 15. März 2021 focht der Beschwerdeführer den Entscheid des Bezirksgerichts Zürich vom 19. Februar 2021 beim Obergericht des Kantons Zürich mit Beschwerde an. Er stellte unter anderem die Verfahrensanträge, es sei ihm Einsicht in die vorinstanzlichen Akten zu gewähren und es sei ihm nach Einsicht in die vorinstanzlichen Akten Frist zur Ergänzung der Beschwerdeschrift anzusetzen. Mit Verfügung vom 28. Oktober 2021 stellte das Obergericht dem Beschwerdeführer eine anonymisierte Ausfertigung des Entscheids des Bezirksgerichts Zürich vom 19. Februar 2021 zu; im Übrigen wies es das Akteneinsichtsgesuch des Beschwerdeführers ab (Dispositiv-Ziffer 1). Mit Eingabe vom 1. Dezember 2021 erklärte der Beschwerdeführer dem Bundesgericht, Dispositiv-Ziffer 1 der Verfügung des Obergerichts des Kantons Zürich vom 28. Oktober 2021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Beim angefochtenen Entscheid des Obergerichts des Kantons Zürich vom 28. Oktober 2021 handelt es sich um einen Zwischenentscheid im Sinne von Art. 93 BGG . Der Beschwerdeführer vermag keinen nicht wieder gutzumachenden Nachteil im Sinne von Art. 93 Abs. 1 lit. a BGG aufzuzeigen, indem er vorbringt, durch das Vorenthalten des vollständigen Entscheids des Bezirksgerichts Zürich vom 19. Februar 2021 sowie des Einblicks in die entsprechenden Verfahrensakten und der damit verbundenen Anonymisierung der Beschwerdegegner 1 und 2 würden seine elementaren verfahrens- und verfassungsrechtlichen Ansprüche auf Wahrung des rechtlichen Gehörs und ein faires Verfahren verletzt. Inwiefern die gerügten Verfahrensmängel nicht durch einen späteren günstigen Endentscheid behoben werden könnten, ist nicht erkennbar. Soweit der Beschwerdeführer einen nicht wieder gutzumachenden Nachteil darin erblicken will, dass das bezirksgerichtliche Urteil vom 19. Februar 2021 die Beschwerdegegnerin 3 dazu verpflichtet, die Namen und andere Personendaten der Beschwerdegegner 1 und 2 im Global Tracking System und ähnlichen Datensammlungen unwiederbringlich zu löschen, könnte der ins Feld geführten Gefahr der Vollstreckung dieser Anordnung für den Fall, dass das Berufungsverfahren zu Ungunsten des Beschwerdeführers ausfallen sollte, durch umgehendes Stellen eines Gesuchs um Gewährung der aufschiebenden Wirkung vor Bundesgericht begegnet werden. Im Weiteren sind die in der Beschwerde angeführten möglichen Ausstandsgründe rein hypothetisch. Ohnehin handelt es sich bei der angefochtenen Verfügung nicht um einen Zwischenentscheid über den Ausstand ( Art. 92 BGG ). Schliesslich ist entgegen den Vorbringen in der Beschwerde auch die Voraussetzung von Art. 93 Abs. 1 lit. b BGG offensichtlich nicht erfüllt. Der Beschwerdeführer behauptet lediglich pauschal, im Falle der Gutheissung der Beschwerde würde das vorinstanzliche Rechtsmittelverfahren gegenstandslos, womit "Aufwand an Zeit, insbesondere für das Be weisverfahren" gespart werden könne, zeigt jedoch mit keinem Wort auf, inwiefern im zu beurteilenden Fall ein weitläufiges Beweisverfahren erforderlich wäre. Auf die Beschwerde ist daher im vereinfachten Verfahren nach Art. 108 Abs. 1 lit. a BGG nicht einzutreten.</w:t>
      </w:r>
    </w:p>
    <w:p>
      <w:r>
        <w:rPr>
          <w:b/>
        </w:rPr>
        <w:t>E. 3</w:t>
      </w:r>
    </w:p>
    <w:p>
      <w:r>
        <w:t>Der Beschwerdeführer wird bei diesem Verfahrensausgang kostenpflichtig ( Art. 66 Abs. 1 BGG ). Den Beschwerdegegnern steht keine Parteientschädigung zu, da ihnen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