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4A_611/2025 vom 18. Dezember 2025</w:t>
      </w:r>
    </w:p>
    <w:p>
      <w:r>
        <w:t>Bundesgericht, 2025-12-18, DE</w:t>
      </w:r>
    </w:p>
    <w:p>
      <w:r>
        <w:rPr>
          <w:b/>
        </w:rPr>
        <w:t xml:space="preserve">Quelle: </w:t>
      </w:r>
      <w:r>
        <w:t>https://mcp.opencaselaw.ch/entscheid/bger_4A_611_2025</w:t>
      </w:r>
    </w:p>
    <w:p>
      <w:r>
        <w:t>FR: TF 4A_611/2025 du 18 décembre 2025</w:t>
      </w:r>
    </w:p>
    <w:p>
      <w:r>
        <w:t>IT: TF 4A_611/2025 del 18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(im Folgenden Beschwerdeführer) hat mit Datum vom 12. August 2023 beim Richteramt Olten-Gösgen eine Feststellungsklage gegen die B.________ AG eingereicht. In diesem Verfahren erliess der Amtsgerichtspräsident am 17. Oktober 2025 die folgende Verfügung:</w:t>
      </w:r>
    </w:p>
    <w:p>
      <w:r>
        <w:t>"1. Je ein Doppel der Eingaben vom 13. und 14. Oktober 2025 gehen an die Beklagte.</w:t>
      </w:r>
    </w:p>
    <w:p>
      <w:r>
        <w:rPr>
          <w:b/>
        </w:rPr>
        <w:t>E. 2</w:t>
      </w:r>
    </w:p>
    <w:p>
      <w:r>
        <w:t>Die Eingabe des Beschwerdeführers beruht augenfällig auf querulatorischer und rechtsmissbräuchlicher Prozessführung und ist als solche unzulässig ( Art. 42 Abs. 7 BGG ). Auf die Beschwerde ist demnach im vereinfachten Verfahren durch den Abteilungspräsidenten nicht einzutreten ( Art. 108 Abs. 1 lit. c BGG ). Die Begründung des Entscheids beschränkt sich dabei auf eine kurze Angabe des Unzulässigkeitsgrundes ( Art. 108 Abs. 3 BGG ).</w:t>
      </w:r>
    </w:p>
    <w:p>
      <w:r>
        <w:t>Das Gesuch um Gewährung von vorsorglichem Rechtsschutz wird mit diesem Entscheid in der Sache selbst gegenstandslos.</w:t>
      </w:r>
    </w:p>
    <w:p>
      <w:r>
        <w:rPr>
          <w:b/>
        </w:rPr>
        <w:t>E. 3</w:t>
      </w:r>
    </w:p>
    <w:p>
      <w:r>
        <w:t>Bei diesem Ausgang des Verfahrens sind die Gerichtskosten dem Beschwerdeführer aufzuerlegen ( Art. 66 Abs. 1 BGG ). Parteientschädigungen sind nicht zuzusprechen ( Art. 68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