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4A_611/2023 vom 22. Mai 2024</w:t>
      </w:r>
    </w:p>
    <w:p>
      <w:r>
        <w:t>Bundesgericht, 2024-05-22, FR</w:t>
      </w:r>
    </w:p>
    <w:p>
      <w:r>
        <w:rPr>
          <w:b/>
        </w:rPr>
        <w:t xml:space="preserve">Quelle: </w:t>
      </w:r>
      <w:r>
        <w:t>https://mcp.opencaselaw.ch/entscheid/bger_4A_611_2023</w:t>
      </w:r>
    </w:p>
    <w:p>
      <w:r>
        <w:t>FR: TF 4A_611/2023 du 22 mai 2024</w:t>
      </w:r>
    </w:p>
    <w:p>
      <w:r>
        <w:t>IT: TF 4A_611/2023 del 22 maggio 2024</w:t>
      </w:r>
    </w:p>
    <w:p>
      <w:pPr>
        <w:pStyle w:val="Heading2"/>
      </w:pPr>
      <w:r>
        <w:t>Erwägungen</w:t>
      </w:r>
    </w:p>
    <w:p>
      <w:r>
        <w:rPr>
          <w:b/>
        </w:rPr>
        <w:t>E. 1</w:t>
      </w:r>
    </w:p>
    <w:p>
      <w:r>
        <w:t>Interjeté en temps utile ( art. 100 al. 1 LTF ) par la partie qui a succombé dans ses conclusions ( art. 76 al. 1 LTF ), dirigé contre un arrêt final ( art. 90 LTF ) rendu en matière civile ( art. 72 al. 1 LTF ) par un tribunal supérieur statuant sur recours ( art. 75 LTF ) dans une affaire relative à un contrat de bail dont la valeur litigieuse excède le minimum de 15'000 fr. requis ( art. 74 al. 1 let. a LTF ), le présent recours en matière civile est recevable sur le principe.</w:t>
      </w:r>
    </w:p>
    <w:p>
      <w:r>
        <w:rPr>
          <w:b/>
        </w:rPr>
        <w:t>E. 2.1</w:t>
      </w:r>
    </w:p>
    <w:p>
      <w:r>
        <w:t>Le Tribunal statue sur la base des faits établis par l'autorité précédente ( art. 105 al. 1 LTF ). Il ne peut s'en écarter que si ces faits ont été arrêtés de façon manifestement inexacte - c'est-à-dire arbitraire au sens de l' art. 9 Cst. ( ATF 140 III 115 consid. 2) - ou en violation du droit défini à l' art. 95 LTF ( art. 97 al. 1 LTF et 105 al. 2 LTF).</w:t>
      </w:r>
    </w:p>
    <w:p>
      <w:r>
        <w:t>Conformément au principe de l'allégation ancré à l' art. 106 al. 2 LTF , la partie qui croit discerner un arbitraire dans les faits constatés par l'autorité précédente doit expliquer clairement et par le détail en quoi ce vice serait réalisé ( ATF 140 III 264 consid. 2.3 et les réf. citées; cf. en outre par ex. arrêt 5A_129/2007 du 28 juin 2007 consid. 1.4</w:t>
      </w:r>
    </w:p>
    <w:p>
      <w:r>
        <w:t>in fine ). Si elle aspire à faire compléter cet état de fait, elle doit démontrer, par des renvois précis aux pièces du dossier, qu'elle a présenté aux autorités précédentes les faits juridiquement pertinents et les moyens de preuve adéquats, en se conformant aux règles de procédure applicables ( ATF 140 III 86 consid. 2). La Cour de céans ne saurait prendre en compte des affirmations appellatoires et/ou qui s'écarteraient de la décision attaquée sans satisfaire aux exigences précitées ( ATF 140 III 16 consid. 1.3.1; cf. en outre par ex. arrêt 4A_396/2022 du 7 novembre 2023 consid. 2.1, non publié à l' ATF 150 III 78 ).</w:t>
      </w:r>
    </w:p>
    <w:p>
      <w:r>
        <w:rPr>
          <w:b/>
        </w:rPr>
        <w:t>E. 2.2</w:t>
      </w:r>
    </w:p>
    <w:p>
      <w:r>
        <w:t>Le Tribunal fédéral applique en principe le droit d'office à l'état de fait constaté dans l'arrêt cantonal (cf. art. 106 al. 1 LTF ). Cela ne signifie pas qu'il examine, comme le ferait un juge de première instance, toutes les questions juridiques qui pourraient encore se poser. Compte tenu de l'obligation de motiver imposée par l' art. 42 al. 2 LTF , il ne traite que des questions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 cf. en outre par ex. arrêt précité 4A_396/2022 consid. 2.2, non publié).</w:t>
      </w:r>
    </w:p>
    <w:p>
      <w:r>
        <w:rPr>
          <w:b/>
        </w:rPr>
        <w:t>E. 3</w:t>
      </w:r>
    </w:p>
    <w:p>
      <w:r>
        <w:t>En l'occurrence, les parties ont été liées par un contrat de bail de durée déterminée remontant au 5 janvier 2018 (let. A.d</w:t>
      </w:r>
    </w:p>
    <w:p>
      <w:r>
        <w:t>supra ) auquel la bailleresse a mis fin de manière anticipée en invoquant notamment le non-paiement du loyer.</w:t>
      </w:r>
    </w:p>
    <w:p>
      <w:r>
        <w:rPr>
          <w:b/>
        </w:rPr>
        <w:t>E. 3.1</w:t>
      </w:r>
    </w:p>
    <w:p>
      <w:r>
        <w:t>Selon l' art. 257d al. 1 CO ,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 art. 257d al. 2 CO dispose que faute de paiement dans le délai fixé, le bailleur peut résilier le contrat avec effet immédiat; les baux d'habitations et de locaux commerciaux peuvent être résiliés moyennant un délai de congé minimum de trente jours pour la fin d'un mois.</w:t>
      </w:r>
    </w:p>
    <w:p>
      <w:r>
        <w:rPr>
          <w:b/>
        </w:rPr>
        <w:t>E. 3.2</w:t>
      </w:r>
    </w:p>
    <w:p>
      <w:r>
        <w:t>La société locataire a fait valoir que la résiliation du 26 décembre 2018 était nulle.</w:t>
      </w:r>
    </w:p>
    <w:p>
      <w:r>
        <w:t>Pour être qualifiée de nulle, la résiliation de bail doit être affectée d'un vice grave, souvent un vice de forme (DAVID LACHAT, in Le bail à loyer, 2019, p. 949). Parmi les cas de nullité absolue, l' art. 266o CO énonce le congé qui ne respecte pas les art. 266l à n CO - notamment lorsqu'il n'est pas signifié par écrit et au moyen de la formule agréée par le canton. A côté des congés radicalement nuls, on trouve la catégorie des congés inefficaces, soit les congés qui sont dénués d'effet juridique (</w:t>
      </w:r>
    </w:p>
    <w:p>
      <w:r>
        <w:t>unwirksam; wirkungslos ), parce qu'ils ne satisfont pas aux exigences légales ou contractuelles auxquelles est subordonné leur exercice. A titre d'exemple, on peut citer le congé motivé par le défaut de paiement du loyer alors qu'en réalité, le loyer a été payé ( ATF 121 III 156 consid. 1c/aa).</w:t>
      </w:r>
    </w:p>
    <w:p>
      <w:r>
        <w:t>Dans la présente procédure, la recourante est donc recevable à soutenir que le congé du 26 décembre 2018 est inefficace au motif que les conditions de l' art. 257d al. 1 CO ne sont pas réalisées, ou qu'il est nul selon l' art. 266o CO , alors même qu'elle n'a pas agi dans le délai prévu par l' art. 273 al. 1 CO ( ATF 121 III 156 consid. 1c/aa; arrêt 4C.116/2005 du 20 juin 2005 consid. 2.3). Elle est toutefois déchue du droit d'invoquer l'annulabilité du congé selon les art. 271 al. 1 et 271a CO ( ATF 121 III 156 consid. 1c/cc).</w:t>
      </w:r>
    </w:p>
    <w:p>
      <w:r>
        <w:rPr>
          <w:b/>
        </w:rPr>
        <w:t>E. 4</w:t>
      </w:r>
    </w:p>
    <w:p>
      <w:r>
        <w:t>L'analyse des juges cantonaux, dans ce qu'elle a d'utile à la résolution du litige, est la suivante:</w:t>
      </w:r>
    </w:p>
    <w:p>
      <w:r>
        <w:t>- S'agissant de la réception de la résiliation:</w:t>
      </w:r>
    </w:p>
    <w:p>
      <w:r>
        <w:t>La bailleresse avait adressé la résiliation en cause à l'adresse des locaux loués, ce qui était correct. Selon la théorie de la réception absolue, cette résiliation était réputée avoir été reçue le 29 décembre 2018, soit le lendemain du jour où l'avis de retrait avait été déposé (cf. premier jugement, repris implicitement par l'arrêt cantonal sur ce point). Certes, la bailleresse avait connaissance de la détention provisoire des représentants de la société locataire à cette date; cela étant, cette détention durait depuis une vingtaine de jours, ce qui aurait permis à ceux-ci et à la locataire de s'organiser pour réceptionner son courrier. De plus, les représentants de la société locataire devaient s'attendre, avant même leur mise en détention, à ce que la bailleresse notifie une résiliation de bail consécutive au non-paiement du loyer, puisqu'elle les avait mis en demeure par courrier du 23 octobre 2018 de s'acquitter dans un délai de soixante jours du loyer de 100'000 fr. pour le premier trimestre 2018 et que, quelques jours plus tard, elle avait procédé à la résiliation du bail portant sur les locaux de l'Auberge L.________ pour un motif identique. En tout état de cause, la détention des gérants de la société locataire n'excluait pas, même sans que des mesures particulières soient prises, que d'autres personnes soient habilitées à recevoir le courrier recommandé contenant la résiliation de bail, telle une employée, soit en l'occurrence la comptable de la société et mère de C.________. Le tribunal de première instance l'avait d'ailleurs relevé sans que la société locataire ne le conteste de manière motivée. S'agissant de Me N.________, celui-ci avait informé la bailleresse, le 5 décembre 2018, être chargé de la défense de la locataire avec élection de domicile en son étude, mais il se référait uniquement aux procédures pendantes en annulation des résiliations fondées sur l'existence d'une sous-location non autorisée. Cette élection de domicile ne concernait dès lors pas la résiliation de bail pour défaut de paiement du loyer, d'autant que le conseil prénommé n'évoquait pas la mise en demeure de payer le loyer pourtant antérieure à la constitution de son mandat.</w:t>
      </w:r>
    </w:p>
    <w:p>
      <w:r>
        <w:t>- S'agissant du loyer en retard:</w:t>
      </w:r>
    </w:p>
    <w:p>
      <w:r>
        <w:t>Le loyer impayé de 100'000 fr. relatif au premier trimestre de l'année 2018, était bien exigible, n'en déplaise à la locataire, puisque le ch. IV du contrat de bail prévoyait qu'il le serait le 30 septembre 2018 au plus tard. Certes, par courrier du 21 mars 2018, C.________ avait autorisé le report de l'exigibilité du loyer dû par la société locataire, pour faire suite à la demande de celle-ci. Cela étant, le prénommé était doublement partie à cet accord, d'un côté comme représentant de la bailleresse et de l'autre, au travers de la société locataire qu'il dirigeait de manière effective. En effet, il avait signé le consentement du 21 mars 2018 en tant qu'administrateur de la bailleresse. Et, bien que la demande de la société locataire ait été formée, pour elle, par D.________, elle masquait en réalité l'intervention de C.________ qui était la seule personne à agir en son nom, les partenaires contractuels de la locataire, tels que l'association, n'ayant d'ailleurs jamais entendu parler du premier nommé. Il s'agissait donc d'un contrat conclu avec soi-même, en principe inadmissible, aucune des exceptions dégagées par la jurisprudence n'étant réalisée: l'accord en question ne correspondait pas aux conditions usuelles du marché (le délai de paiement accordé dépendait de travaux qui n'étaient ni acceptés - les parties divergeant sur leur financement - ni même planifiés au moment de la signature de l'acte et il conduisait à priver la bailleresse des loyers pendant une période indéterminée au profit de la locataire et, partant, de C.________); par ailleurs, une approbation/ratification de l'accord en question par l'assemblée générale de la bailleresse n'était pas intervenue. Partant, l'accord du 21 mars 2018 visant à proroger l'échéance du loyer ne déployait pas d'effet juridique. Un loyer de 100'000 fr. était donc dû le 30 septembre 2018.</w:t>
      </w:r>
    </w:p>
    <w:p>
      <w:r>
        <w:t>En conclusion, la résiliation de bail du 26 décembre 2018 était valable.</w:t>
      </w:r>
    </w:p>
    <w:p>
      <w:r>
        <w:rPr>
          <w:b/>
        </w:rPr>
        <w:t>E. 5</w:t>
      </w:r>
    </w:p>
    <w:p>
      <w:r>
        <w:t>La recourante soutient que la résiliation du bail serait frappée de nullité, faute de notification en temps voulu et dans la forme prescrite. Le jugement cantonal serait grevé d'une constatation manifestement inexacte des faits ainsi que d'une appréciation arbitraire des preuves; il enfreindrait au demeurant l'interdiction de l'abus de droit.</w:t>
      </w:r>
    </w:p>
    <w:p>
      <w:r>
        <w:rPr>
          <w:b/>
        </w:rPr>
        <w:t>E. 5.1</w:t>
      </w:r>
    </w:p>
    <w:p>
      <w:r>
        <w:t>La résiliation du bail est une déclaration unilatérale de volonté de l'une des parties au contrat, qui est soumise à réception ( ATF 143 III 15 consid. 4.1; 137 III 208 consid. 3.1.1). La communication de la résiliation du bail est soumise à la théorie de la réception dite absolue ( ATF 143 III 15 consid. 4.1; 140 III 244 consid. 5; 137 III 208 consid. 3.1.2; 118 II 42 consid. 3; 107 II 189 consid. 2). Le point de départ du délai correspond au moment où la manifestation de volonté (i.e. la résiliation du bail) est parvenue dans la sphère d'influence (</w:t>
      </w:r>
    </w:p>
    <w:p>
      <w:r>
        <w:t>Machtbereich ) du destinataire ou de son représentant, de telle sorte qu'en organisant normalement ses affaires, celui-ci est à même d'en prendre connaissance ( ATF 143 III 15 consid. 4.1; 137 III 208 consid. 3.1.2).</w:t>
      </w:r>
    </w:p>
    <w:p>
      <w:r>
        <w:t>Lorsque la manifestation de volonté est communiquée par pli recommandé, si l'agent postal n'a pas pu le remettre effectivement au destinataire (ou à un tiers autorisé à prendre livraison de l'envoi) et qu'il laisse un avis de retrait ("invitation à retirer un envoi")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 ATF 143 III 15 consid. 4.1; 137 III 208 consid. 3.1.2; 107 II 189 consid. 2 p. 192; arrêt 4A_471/2013 du 11 novembre 2013 consid. 2). Le destinataire supporte donc le risque qu'il ne prenne pas, ou tardivement connaissance de la manifestation de volonté de l'expéditeur, par exemple en cas d'absence ou de vacances ( ATF 143 III 15 consid. 4.1; GAUCH/SCHLUEP/SCHMID, Schweizerisches Obligationenrecht, Allgemeiner Teil I, 11e éd. 2020, n. 196a).</w:t>
      </w:r>
    </w:p>
    <w:p>
      <w:r>
        <w:rPr>
          <w:b/>
        </w:rPr>
        <w:t>E. 5.2</w:t>
      </w:r>
    </w:p>
    <w:p>
      <w:r>
        <w:t>En l'espèce, la recourante voit l'empreinte de l'arbitraire dans la constatation de certains faits à la base du raisonnement voulant que la résiliation est censée lui avoir été notifiée. A tort.</w:t>
      </w:r>
    </w:p>
    <w:p>
      <w:r>
        <w:t>Il n'importe qu'il ait été allégué en procédure - ou non - que les deux gérants, alors en détention, avaient bénéficié d'un délai suffisant pour leur permettre de s'organiser pour réceptionner le courrier de résiliation. La Cour cantonale pouvait parfaitement le déduire des faits, par ailleurs constants, selon lesquels les gérants en cause avaient été placés en détention le 5 décembre 2018 (</w:t>
      </w:r>
    </w:p>
    <w:p>
      <w:r>
        <w:t>supra , let. Ar), alors que la résiliation du bail avait été envoyée le 26 décembre 2018 (</w:t>
      </w:r>
    </w:p>
    <w:p>
      <w:r>
        <w:t>supra , let. As), ce qui fait bel et bien un laps de temps d'une "vingtaine" de jours. Contrairement à ce que la recourante prétend lire dans l'arrêt attaqué, la Cour cantonale ne lui a pas suggéré de prendre des mesures pour "faire dévier son courrier". Elle a tout au plus relevé que la détention des gérants de la société n'excluait pas, même sans que des mesures particulières soient prises, que d'autres personnes soient habilitées à recevoir le courrier recommandé contenant la résiliation de bail, telle une employée; elle a cité à titre d'exemple la comptable de la société et mère de C.________, ce que la recourante passe sous silence. Il ne suffit pas d'affirmer que la société n'a jamais eu d'autres organes que MM. C.________ et D.________: ceci n'exclut pas de conférer une procuration à des tiers pour des affaires déterminées. D'après la recourante encore, les contacts autorisés en détention préventive étaient très restreints. Cela étant, elle demeure vague sur ceux que ses associés-gérants ont pu entretenir avec leur/s avocat/s une fois placés en détention. Poursuivant dans sa lancée, elle affirme que le courrier de son conseil du 5 décembre 2018, auquel était joint une procuration, devait nécessairement être interprété comme une constitution "globale" pour le compte de la locataire; elle en veut pour preuve la procuration jointe, qui n'aurait pas mentionné de numéro de procédure. Elle ne saurait davantage être suivie sur ce chapitre: elle n'a apparemment ni allégué, ni</w:t>
      </w:r>
    </w:p>
    <w:p>
      <w:r>
        <w:t>a fortiori démontré avoir à l'époque conféré un pouvoir interne à son mandataire pour la représenter dans le cadre de la seconde résiliation de bail, consécutive au non-paiement du loyer. Dans ces conditions, rien de surprenant à ce que la procuration jointe à la lettre du 5 décembre 2018 fasse uniquement référence à la première résiliation de bail motivée par la sous-location non-autorisée. Et l'on ne voit guère comment, vu la référence expresse aux procédures pendantes en annulation des résiliations fondées sur l'existence d'une sous-location non-autorisée, numérotées ou non, son interlocuteur aurait pu prêter une portée plus étendue à la missive, respectivement à la procuration produite par ce mandataire. Que l'intimée ait envoyé une copie de la résiliation du 26 décembre 2018 par courriel au mandataire en question ne saurait avoir valeur d'aveu selon lequel elle aurait cerné que celui-ci était constitué pour toutes sortes d'affaires relatives au bail en cause.</w:t>
      </w:r>
    </w:p>
    <w:p>
      <w:r>
        <w:t>En somme, le Tribunal fédéral ne décèle aucun arbitraire dans la constatation de ces faits et l'appréciation de ces preuves-là.</w:t>
      </w:r>
    </w:p>
    <w:p>
      <w:r>
        <w:t>La recourante dénonce également un abus de droit ( art. 2 al. 2 CC ) qu'elle prétend discerner dans le fait, pour la bailleresse, d'avoir littéralement "provoqué" la mise en détention de MM. C.________ et D.________ pour profiter de cette situation et résilier ultérieurement le contrat de bail. Si l'on comprend bien, elle devait choisir entre l'un ou l'autre. Cette logique ne saurait convaincre qui que ce soit.</w:t>
      </w:r>
    </w:p>
    <w:p>
      <w:r>
        <w:t>Ceci constituant l'ultime grief de la recourante relatif à la notification du congé, c'est un premier pan du recours qui s'effondre avec lui.</w:t>
      </w:r>
    </w:p>
    <w:p>
      <w:r>
        <w:rPr>
          <w:b/>
        </w:rPr>
        <w:t>E. 6</w:t>
      </w:r>
    </w:p>
    <w:p>
      <w:r>
        <w:t>La recourante soutient encore que la résiliation serait inefficace au regard de l' art. 257d CO dont elle dénonce la violation. D'après elle, le loyer n'était pas encore exigible; le délai de paiement aurait été reporté par accord des parties. Cet accord n'impliquerait pas C.________ à la fois comme représentant de la société bailleresse et de la société locataire; en effet, c'est l'autre associé-gérant de la locataire, à savoir D.________, qui aurait formulé la demande de report au nom de celle-ci. A quoi s'ajoute que l'acte aurait été conclu aux conditions du marché, de sorte que le risque de léser les intérêts de la bailleresse aurait été inexistant.</w:t>
      </w:r>
    </w:p>
    <w:p>
      <w:r>
        <w:rPr>
          <w:b/>
        </w:rPr>
        <w:t>E. 6.1</w:t>
      </w:r>
    </w:p>
    <w:p>
      <w:r>
        <w:t>La double représentation (</w:t>
      </w:r>
    </w:p>
    <w:p>
      <w:r>
        <w:t>Doppelvertretung, doppia rappresentanza ) - où un même représentant agit pour les deux parties au contrat - à l'instar du contrat conclu avec soi-même (</w:t>
      </w:r>
    </w:p>
    <w:p>
      <w:r>
        <w:t>Selbstkontrahierung; contratto con se stesso ) - situation dans laquelle une même personne est doublement partie à l'acte juridique, d'un côté pour son propre compte, de l'autre comme représentante d'autrui - recèle un risque de conflit d'intérêts (cf. notamment arrêt 4A_488/2021 du 4 mars 2022 consid. 5.3.2 et, entre autres, PETER BÖCKLI, Schweizer Aktienrecht, 5e éd. 2022, § 9 n. 775 ss; CHRISTINE CHAPPUIS, in Commentaire romand, Code des obligations I, 3e éd. 2021, n° 32 ad art. 33 CO ; CHRISTOPH BÜHLER, in Zürcher Kommentar, 3e éd. 2018, n°s 132 ss ad art. 717 CO ).</w:t>
      </w:r>
    </w:p>
    <w:p>
      <w:r>
        <w:t>De longue date, le Tribunal fédéral juge ce type de contrat inadmissible (</w:t>
      </w:r>
    </w:p>
    <w:p>
      <w:r>
        <w:t>unzulässig) , et partant dépourvu de validité (</w:t>
      </w:r>
    </w:p>
    <w:p>
      <w:r>
        <w:t>ungültig ), sous réserve de deux exceptions:</w:t>
      </w:r>
    </w:p>
    <w:p>
      <w:r>
        <w:t>- I. La nature même de l'affaire exclut tout risque de léser le représenté. Tel est notamment le cas lorsque l'acte est conclu aux conditions du marché.</w:t>
      </w:r>
    </w:p>
    <w:p>
      <w:r>
        <w:t>- II. Le représenté y a consenti par avance, ou a ratifié l'acte ( ATF 144 III 388 consid. 5.1; 127 III 332 consid. 2a; 126 III 361 consid. 3a; 95 II 617 consid. 2a; 39 II 561 consid. 3, considéré comme le</w:t>
      </w:r>
    </w:p>
    <w:p>
      <w:r>
        <w:t>leading case ).</w:t>
      </w:r>
    </w:p>
    <w:p>
      <w:r>
        <w:t>Ces principes valent aussi pour la représentation légale d'une société par ses organes. La personne morale est présumée tacitement exclure le pouvoir de représentation pour tout acte comportant un risque de conflit entre ses propres intérêts et celui de son représentant. Le consentement ou la ratification doit émaner d'un organe de même rang, ou de rang plus élevé ( ATF 144 III 388 consid. 5.1; 126 III 361 consid. 3a). Dans plusieurs affaires, le Tribunal fédéral a admis l'existence d'une ratification ultérieure (cf. par ex. ATF 128 III 129 consid. 2c; 127 III 332 consid. 2b/bb et /cc).</w:t>
      </w:r>
    </w:p>
    <w:p>
      <w:r>
        <w:t>A ces exigences de fond conditionnant la validité d'un acte conclu avec soi-même s'ajoute un réquisit de forme écrite pour les affaires supérieures à 1'000 fr. (cf. art. 718b CO ; BÜHLER, op. cit., n°s 1 ss ad art. 718b CO ; PETER/CAVADINI, in Commentaire romand, Code des obligations II, 2e éd. 2017, n°s 5 ss ad art. 718b CO ; BÖCKLI, Insichgeschäfte und Interessenkonflikte im Verwaltungsrat (...), in GesKR 2012 358; PETER JUNG, Insichgeschäfte im Gesellschaftsrecht oder vom gefahrlosen Umgang mit sich selbst, in Entwicklungen im Gesellschaftsrecht VI, 2011, p. 280).</w:t>
      </w:r>
    </w:p>
    <w:p>
      <w:r>
        <w:rPr>
          <w:b/>
        </w:rPr>
        <w:t>E. 6.2</w:t>
      </w:r>
    </w:p>
    <w:p>
      <w:r>
        <w:t>En l'espèce, la locataire et recourante a beau jeu de prétendre que C.________ n'a pas agi à un double titre, soit pour la bailleresse (dont il était administrateur) et pour elle-même (dont il était associé-gérant président). Certes, c'est formellement D.________ qui a formulé la demande de report de délai de paiement que la bailleresse, sous la plume de C.________, a acceptée. Cela étant, la Cour cantonale a fort bien expliqué que l'intervention du premier nommé visait uniquement à masquer la double représentation par le second, soit à éluder l'interdiction de principe.</w:t>
      </w:r>
    </w:p>
    <w:p>
      <w:r>
        <w:t>Au demeurant, même s'il fallait reconnaître à l'intervention de D.________ une quelconque consistance, ceci ne changerait rien à la conclusion qui s'impose. En effet, il faudrait alors nécessairement reconnaître l'existence d'un conflit d'intérêts entre ceux de la bailleresse et ceux de C.________ qui agissait au nom de celle-ci, conflit d'intérêts qui était parfaitement reconnaissable par D.________ (pour la société locataire) et limitait le pouvoir de représentation de C.________ (pour la société bailleresse) ( ATF 126 III 361 consid. 3a; arrêt 4A_55/2017 du 16 juin 2017 consid. 5.2.1). Dans tous les cas, les actes de ce dernier ne liaient pas la société bailleresse.</w:t>
      </w:r>
    </w:p>
    <w:p>
      <w:r>
        <w:t>Quant à l'exception à laquelle cet accord émargerait, la recourante échoue à la démontrer: le danger devrait être exclu de par la nature de l'affaire. Tel n'est selon toute évidence pas le cas ici. Le paiement des loyers était reporté</w:t>
      </w:r>
    </w:p>
    <w:p>
      <w:r>
        <w:t>sine die , c'est-à-dire jusqu'à ce que des travaux de rénovation dont l'ampleur demeurait indéterminée et dont la prise en charge par la bailleresse n'était pas prévue dans le contrat de bail, soient entrepris par cette dernière. La Cour cantonale l'a fort bien relevé.</w:t>
      </w:r>
    </w:p>
    <w:p>
      <w:r>
        <w:t>Sur ce chapitre également, la recourante voit ses griefs rejetés.</w:t>
      </w:r>
    </w:p>
    <w:p>
      <w:r>
        <w:rPr>
          <w:b/>
        </w:rPr>
        <w:t>E. 7</w:t>
      </w:r>
    </w:p>
    <w:p>
      <w:r>
        <w:t>Partant, le recours doit être rejeté dans son ensemble.</w:t>
      </w:r>
    </w:p>
    <w:p>
      <w:r>
        <w:t>Ce dernier étant manifestement dépourvu de chances de succès, l'une des conditions pour l'octroi de l'assistance judiciaire fait déjà défaut ( art. 64 al. 1 LTF ). Il convient dès lors de rejeter la demande d'assistance judiciaire formée par la recourante, qui prendra à sa charge les frais de la présente procédure ( art. 66 al. 1 LTF ).</w:t>
      </w:r>
    </w:p>
    <w:p>
      <w:r>
        <w:t>Quant à la requête de sûretés en garantie des dépens formée par l'intimée, elle est sans objet puisque, comme celle-ci n'a pas été invitée à se déterminer, elle ne se voit pas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