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4A_611/2016 vom 20. März 2017</w:t>
      </w:r>
    </w:p>
    <w:p>
      <w:r>
        <w:t>Bundesgericht, 2017-03-20, DE</w:t>
      </w:r>
    </w:p>
    <w:p>
      <w:r>
        <w:rPr>
          <w:b/>
        </w:rPr>
        <w:t xml:space="preserve">Quelle: </w:t>
      </w:r>
      <w:r>
        <w:t>https://mcp.opencaselaw.ch/entscheid/bger_4A_611_2016</w:t>
      </w:r>
    </w:p>
    <w:p>
      <w:r>
        <w:t>FR: TF 4A_611/2016 du 20 mars 2017</w:t>
      </w:r>
    </w:p>
    <w:p>
      <w:r>
        <w:t>IT: TF 4A_611/2016 del 20 marzo 2017</w:t>
      </w:r>
    </w:p>
    <w:p>
      <w:pPr>
        <w:pStyle w:val="Heading2"/>
      </w:pPr>
      <w:r>
        <w:t>Erwägungen</w:t>
      </w:r>
    </w:p>
    <w:p>
      <w:r>
        <w:rPr>
          <w:b/>
        </w:rPr>
        <w:t>E. 1</w:t>
      </w:r>
    </w:p>
    <w:p>
      <w:r>
        <w:t>Das Bundesgericht prüft von Amtes wegen und mit freier Kognition, ob ein Rechtsmittel zulässig ist ( Art. 29 Abs. 1 BGG ; BGE 141 III 395 E. 2.1 S. 397 mit Hinweisen). Die Beschwerde richtet sich gegen einen Entscheid einer letzten kantonalen Instanz ( Art. 75 Abs. 1 BGG ) über eine Klage auf Feststellung eines Rechts ( Art. 88 ZPO ). Der Streitwert von Fr. 30'000.-- ( Art. 74 Abs. 1 lit. b BGG ) ist offensichtlich erreicht, die Beschwerdeführerin ist mit ihren Begehren vor Vorinstanz unterlegen und damit durch den Entscheid beschwert ( Art. 76 Abs. 1 BGG ). Auf die Beschwerde ist - unter Vorbehalt einer genügenden Begründung ( Art. 42 Abs. 1 BGG ) - einzutreten.</w:t>
      </w:r>
    </w:p>
    <w:p>
      <w:r>
        <w:rPr>
          <w:b/>
        </w:rPr>
        <w:t>E. 2</w:t>
      </w:r>
    </w:p>
    <w:p>
      <w:r>
        <w:t>Das Rechtsschutzinteresse an einer Klage ( Art. 59 Abs. 2 lit. a ZPO ) wird als Prozessvoraussetzung von Amtes wegen geprüft ( Art. 60 ZPO ). Auch eine obere kantonale Instanz hat Prozessvoraussetzungen somit ohne entsprechende Rügen zu prüfen (vgl. betreffend die sachliche Zuständigkeit als Prozessvoraussetzung: Urteil 4A_100/2016 vom 13. Juli 2016 E. 2.1.1 mit Hinweisen, nicht publ. in: BGE 142 III 515 ). Das Bezirksgericht - und mit ihm die Vorinstanz implizit - sind zu Recht davon ausgegangen, dass es einer Feststellung über den Rechtsanspruch der Beschwerdeführerin auf Ernennung eines Experten bedarf, weil sonst das diesbezüglich von der Zürcher Handelskammer ausgesetzte Verfahren nicht fortgesetzt werden kann.</w:t>
      </w:r>
    </w:p>
    <w:p>
      <w:r>
        <w:t>Ohne weitere Begründung ist das Bezirksgericht auch auf die Klage eingetreten, soweit die Feststellung verlangt wurde "für die Bestimmung des Marktwertes der 130 klägerischen Aktien" und es prüfte entsprechend, ob ein Kaufrecht an allen 130 Aktien oder gemäss der Auffassung des Beschwerdegegners nur an 60 % davon, also an 78 Aktien, besteht. Gemäss Ziffer 1 seines Dispositivs stellte es fest, " dass für die Bestimmung des Marktwertes von</w:t>
      </w:r>
    </w:p>
    <w:p>
      <w:r>
        <w:t>130 klägerischen Aktien des Beklagten ein Experte zu ernennen ist ". Da die Vorinstanz von einer Verwirkung des Kaufrechts ausging, äusserte sie sich nicht mehr dazu, " wie viele Aktien des Beklagten gemäss Ziff. 13.6.3. ABV vom Kaufrecht allenfalls betroffen gewesen wären ". Die Beschwerdeführerin geht selber davon aus, betreffend den " Umfang der Kaufoption " werde die Sache wohl an die Vorinstanz zurückzuweisen sein. Eine solche Rückweisung kann indessen unterbleiben. Für die Frage, in welchem Umfang gemäss ABV ein Kaufrecht besteht, ob für 130 oder nur für 78 Aktien, besteht das oben erwähnte Feststellungsinteresse nämlich nicht. Ein solches könnte nur bestehen, wenn die Durchführung der Expertise vom Umfang der zu veräussernden Aktien abhängen würde. Solches wurde nicht geltend gemacht und ist aufgrund des ABV auch nicht ersichtlich. Ob die Beschwerdeführerin schliesslich gestützt auf den in der Expertise ermittelten Wert einer Aktie einen Anspruch auf Kauf von 130 Aktien oder nur von 78 Aktien hat, ist gegebenenfalls im Rahmen einer gewöhnlichen Leistungsklage zu beurteilen. Diesbezüglich hätte bereits das Bezirksgericht nicht auf die Klage eintreten dürfen, was vorliegend zu korrigieren ist.</w:t>
      </w:r>
    </w:p>
    <w:p>
      <w:r>
        <w:rPr>
          <w:b/>
        </w:rPr>
        <w:t>E. 3.1</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132 III 268 E. 2.3.2 S. 274, 626 E. 3.1 S. 632; 131 III 606 E. 4.1 S. 611; je mit Hinweisen). Steht eine tatsächliche Willensübereinstimmung fest, bleibt für eine Auslegung nach dem Vertrauensgrundsatz kein Raum ( BGE 132 III 626 E. 3.1 S. 632;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Gerichts über die äusseren Umstände sowie das Wissen und Wollen der Beteiligten grundsätzlich gebunden ist ( Art. 105 Abs. 1 BGG ; BGE 133 III 61 E. 2.2.1 S. 67; 132 III 24 E. 4 S. 28, 268 E. 2.3.2 S. 274 f.;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133 III 61 E. 2.2.1 S. 67; 132 III 626 E. 3.1 S. 632; 129 III 675 E. 2.3 S. 680).</w:t>
      </w:r>
    </w:p>
    <w:p>
      <w:r>
        <w:rPr>
          <w:b/>
        </w:rPr>
        <w:t>E. 3.2</w:t>
      </w:r>
    </w:p>
    <w:p>
      <w:r>
        <w:t>Der Beschwerdegegner hatte vor Vorinstanz die Zulässigkeit einer objektivierten Auslegung bestritten und geltend gemacht, die Beschwerdeführerin sei aufgrund ihres nachträglichen Verhaltens von dem auch von ihm selber vertretenen Vertragsverständnis ausgegangen. Es habe also ein übereinstimmender wirklicher Wille bestanden. Die Beschwerdeführerin habe nämlich mit Schreiben vom 13. Dezember 2013 an die Zürcher Handelskammer direkt um Mediation hinsichtlich der Rückzession der Aktien ersucht und sich damit über die nun im Prozess von ihr behauptete Einigungsfrist hinweggesetzt. Die Vorinstanz verwarf diesen Einwand. Wohl habe die Beschwerdeführerin am 13. Dezember 2013 die Auffassung gehabt, bereits aufgrund ihrer Erklärung vom 14. August 2013 einen Rechtsanspruch auf Übertragung der Aktien zu haben, obschon dieser Anspruch nach der anfänglichen Ankündigung, vom Kaufrecht Gebrauch machen zu wollen, noch von der Erfüllung mehrerer Bedingungen (erfolgloser Einigungsversuch, Expertise über den Marktwert, anschliessend Mitteilung über die definitive Ausübung des Kaufrechts) abhängig gewesen sei. Daraus ergebe sich indessen nicht, dass die Beschwerdeführerin bei Vertragsschluss die 20-tägige Frist nicht nur als Einigungsfrist, sondern im Sinn des Beschwerdegegners auch als Frist zur Bestellung des Experten verstanden habe. Entsprechend legte auch die Vorinstanz den Vertrag wie bereits das Bezirksgericht nach dem Vertrauensprinzip aus.</w:t>
      </w:r>
    </w:p>
    <w:p>
      <w:r>
        <w:t>Der Beschwerdegegner beruft sich erneut auf das oben erwähnte Verhalten der Beschwerdeführerin. Er macht aber nicht geltend, jedenfalls nicht rechtsgenüglich, die Vorinstanz habe willkürlich einen übereinstimmenden wirklichen Willen in seinem Sinn verneint. Vielmehr erfolgen die Ausführungen im Rahmen seiner Bestreitung der Auffassung der Beschwerdeführerin, wonach der Wortlaut des ABV klar sei. Diesbezüglich meint er, die Ausführungen der Vorinstanz zum Wortlaut bzw., dass dieser unklar sei, seien Sachverhaltsfeststellungen, welche das Bundesgericht binden würden. Auch an anderer Stelle behauptet er, die Vorinstanz habe verbindliche Aussagen über den Parteiwillen gemacht. Dem ist nicht so. Die Vorinstanz hat nach dem Vertrauensprinzip ausgelegt, was vom Bundesgericht als Rechtsfrage frei überprüft werden kann.</w:t>
      </w:r>
    </w:p>
    <w:p>
      <w:r>
        <w:rPr>
          <w:b/>
        </w:rPr>
        <w:t>E. 4.1</w:t>
      </w:r>
    </w:p>
    <w:p>
      <w:r>
        <w:t>Im Rahmen der Auslegung des Wortlauts wies die Vorinstanz einen erst im Berufungsverfahren gestellten Beweisantrag auf Einholung eines anglizistischen Gutachtens ab, weil es sich um einen neuen und damit gemäss Art. 317 Abs. 1 ZPO nicht mehr zulässigen Antrag handle. Die Bedeutung des Wortlauts von Ziffer 13.6.4 Abs. 3 ABV sei schon vor Bezirksgericht umstritten gewesen und die Beschwerdeführerin hätte dieses Beweismittel daher problemlos schon vor erster Instanz anrufen können. Im Übrigen wäre ein solches Gutachten auch nicht "zielführend".</w:t>
      </w:r>
    </w:p>
    <w:p>
      <w:r>
        <w:t>Was die Beschwerdeführerin dagegen vorbringt, überzeugt nicht. Sie wendet ein, das Bezirksgericht habe offensichtlich nicht hinreichend Englisch verstanden, was vor allem folgende Formulierung auf Seite 7 des erstinstanzlichen Urteils zeige: es "hätte der Halbsatz 'if no agreement on the price can be reached' durch Kommas abgetrennt werden können, um ihn als Einschub zu kennzeichnen - was im Englischen im Gegensatz zum Deutschen wohl nicht notwendig, aber möglich gewesen wäre." Die Beschwerdeführerin betont das Wort "wohl" in dieser Formulierung und leitet daraus ab, das Bezirksgericht "schwimm[e]" bei englischen Texten der vorliegenden Art. Daher, so die Beschwerdeführerin sinngemäss, habe erst das erstinstanzliche Urteil Anlass gegeben, das anglizistische Gutachten zu verlangen. Wäre diese Argumentation zulässig, würde Art. 317 ZPO weitgehend unterlaufen. Denn es ist sehr häufig, das eine in den Augen der betroffenen Partei falsche oder sog. unverständige Argumentation im erstinstanzlichen Urteil Anlass für neue Behauptungen und Beweisanträge ist. Darauf kann es aber nicht ankommen. Massgeblich ist, wie die Vorinstanz richtig erkannte, ob ein Punkt erstinstanzlich bereits umstritten war. Die Rüge einer Verletzung von Art. 317 ZPO ist unbegründet. Damit muss auf die weitere Begründung der Vorinstanz, ein solches Gutachten wäre auch nicht zielführend gewesen, nicht mehr eingegangen werden.</w:t>
      </w:r>
    </w:p>
    <w:p>
      <w:r>
        <w:rPr>
          <w:b/>
        </w:rPr>
        <w:t>E. 4.2</w:t>
      </w:r>
    </w:p>
    <w:p>
      <w:r>
        <w:t>Nach dem Vertrauensprinzip sind Willenserklärungen so auszulegen, wie sie der Empfänger in guten Treuen verstehen durfte und musste. Selbst wenn der Wortlaut einer Vereinbarung auf den ersten Blick klar und eindeutig erscheint, kann nicht ohne Weiteres darauf abgestellt werden, da sich aus den weiteren Gegebenheiten wie dem Zweck des Vertrages und den Umständen, unter denen er geschlossen wurde, ergeben kann, dass der scheinbar klare Wortlaut den Sinn der geschlossenen Vereinbarung nicht exakt wiedergibt ( BGE 133 III 61 E. 2.2.1 S. 67; 131 III 280 E. 3.1 S. 286 f.; je mit Hinweisen). Vom klaren Wortlaut ist jedoch nicht abzuweichen, wenn keine ernsthaften Zweifel daran bestehen, dass er dem Willen der Parteien entspricht ( BGE 133 III 61 E. 2.2.1 S. 67; 130 III 417 E. 3.2 S. 425; je mit Hinweisen).</w:t>
      </w:r>
    </w:p>
    <w:p>
      <w:r>
        <w:rPr>
          <w:b/>
        </w:rPr>
        <w:t>E. 4.3</w:t>
      </w:r>
    </w:p>
    <w:p>
      <w:r>
        <w:t>Der strittige Wortlaut ist der folgende: " (...) and shall thereafter commence the valuation procedure by mandating the Expert if no agreement on the price can be reached within another twenty (20) calendar days". Oder übersetzt: (...) und sollen danach das Bewertungsverfahren durch Beauftragung des Experten einleiten falls innerhalb von weiteren zwanzig (20) Kalendertagen keine Einigung über den Preis erreicht werden kann.</w:t>
      </w:r>
    </w:p>
    <w:p>
      <w:r>
        <w:t>Die Beschwerdeführerin macht geltend, würde sich die 20-Tage-Frist auch auf die Expertenbestellung beziehen und nicht nur eine Einigungsfrist darstellen, wäre die Formulierung eine andere, etwa: " (...) and shall thereafter commence the valuation procedure by mandating the expert within another twenty calender [recte: calendar] days,</w:t>
      </w:r>
    </w:p>
    <w:p>
      <w:r>
        <w:t>unless an agreement on the price can be reached". Der Beschwerdeführerin ist ohne Weiteres zuzustimmen, dass mit einer solchen Formulierung ganz klar wäre, dass die Expertenbeauftragung innerhalb der Frist von zwanzig Tagen erfolgen muss. Daraus ergibt sich aber nicht umgekehrt zwingend, dass die tatsächlich gewählte Formulierung derart klar wäre, dass damit nur eine Einigungsfrist gemeint sein kann. Zutreffend ist, wie bereits das Bezirksgericht erwog, dass die Stellung des Teilsatzes "within another twenty (20) calendar days" am Satzende, also nach dem Hinweis auf die Einigung, für ein Verständnis als (blosse) Einigungsfrist spricht; und zwar recht deutlich. Es kann aber nicht gesagt werden, dass aufgrund dieser Formulierung der Wortlaut so klar und eindeutig wäre, dass er jede andere Auslegung ausschliessen würde und vorbehältlich ernsthafter Zweifel ohne Weiteres in diesem Sinne verstanden werden durfte und musste. Daher sind die übrigen Auslegungselemente zu prüfen, wobei bezüglich der Entstehungsgeschichte keine Sachverhaltsfeststellungen bestehen.</w:t>
      </w:r>
    </w:p>
    <w:p>
      <w:r>
        <w:rPr>
          <w:b/>
        </w:rPr>
        <w:t>E. 5.1</w:t>
      </w:r>
    </w:p>
    <w:p>
      <w:r>
        <w:t>Wenn der Vertrag lediglich eine Einigungsfrist enthielte und keine Frist zur Expertenbestellung, würde dies nach Auffassung der Vorinstanz zu einer unzumutbaren Belastung für den Kaufrechtsbelasteten hinsichtlich seiner Verfügungsmacht führen, weshalb aus teleologischer Sicht die 20-Tage-Frist auch als Frist zur Einleitung der Expertise zu verstehen sei. Bei Verträgen über veränderliche Werte wie vorliegend komme ein aleatorisches Element hinzu. Der Beschwerdegegner mache zu Recht geltend, dass während der Zeit nach dem Bewertungsstichtag eine massgebliche Wertveränderung eintreten könne; die Vorinstanz verweist dazu auch auf das vom Beschwerdegegner vorgebrachte Argument, dass Kaufoptionen ("call options") im Finanzbereich stets befristet seien, da es keine "ewigen Optionen" gebe, die nach Gutdünken zu einem günstigen Kurszeitpunkt ausgeübt werden könnten. Art. 156 Abs. 1 OR [recte: Art. 156 OR ] führe in Fällen wie dem vorliegenden nicht zum Ziel, wo ohne Bestellung eines Experten kein definitiver Entscheid über die Ausübung des Kaufrechts möglich sei. Für den Beschwerdegegner sei die auch ihm offen stehende Bestellung eines Experten kein zumutbarer Weg. Denn mit einem solchen Vorgehen würden allenfalls nutzlose Kosten im Umfang der Hälfte der Expertisekosten auf ihn zukommen, falls die Beschwerdeführerin am Ende ihr Kaufrecht doch nicht ausübe. Gemäss dem letzten Satz von Ziffer 13.6.4 Abs. 3 ABV bestehe nämlich hälftige Kostenteilung in jeder Konstellation. Hätten die Parteien keine Frist für die Bestellung des Experten vorgesehen, würde sich die Frage einer richterlichen Lückenfüllung stellen, um einer unzumutbar langen Ungewissheit ein Ende zu setzen.</w:t>
      </w:r>
    </w:p>
    <w:p>
      <w:r>
        <w:rPr>
          <w:b/>
        </w:rPr>
        <w:t>E. 5.2</w:t>
      </w:r>
    </w:p>
    <w:p>
      <w:r>
        <w:t>Die Argumentation der Vorinstanz beruht auf der Überlegung, eine fehlende Befristung zur Expertenbestellung führe zu einer derart unzumutbaren Belastung für den Beschwerdegegner, dass nicht angenommen werden könne, vernünftige Parteien hätten eine solche Situation gewollt. In der Lehre wird zwar darauf hingewiesen, wenn in Aktionärbindungsverträgen geregelte Kaufrechte vom Eintritt gewisser Bedingungen abhängen würden, empfehle es sich, im Interesse des Kaufrechtsbelasteten und der Klärung der Verhältnisse eine Regelung vorzusehen, die eine zeitnahe Entscheidung sicherstelle (FORSTMOSER/ KÜCHLER, Aktionärbindungsverträge, 2015, S. 404 f. Rz. 1299). Das bedeutet aber nicht, dass eine Befristung zwingend ist (vgl. auch FORSTMOSER/KÜCHLER, a.a.O., S. 404 Rz. 1297) und eine Regelung ohne eine solche keinen Sinn macht und von den Parteien nicht gewollt sein konnte.</w:t>
      </w:r>
    </w:p>
    <w:p>
      <w:r>
        <w:t>Vorliegend geht es zudem nicht darum, dass gar keine Fristen vorgesehen werden, nachdem eine Bedingung (z.B. Beendigung des Arbeitsverhältnisses) eingetreten ist, auf welchen Fall sich die beiden zitierten Autoren beziehen. Die Frage ist vielmehr, ob auch die in Ziffer 13.6.4 Abs. 3 ABV vorgesehene Anrufung der Zürcher Handelskammer zur Expertenbestellung durch eine bestimmte Frist beschränkt ist. Grundsätzlich haben beide Parteien gemäss Absatz 2 das Recht, eine Expertise zu verlangen ("each Party</w:t>
      </w:r>
    </w:p>
    <w:p>
      <w:r>
        <w:t>may request its determination by an experienced international accounting firm [...]"; Herv. beigefügt). Bei der Umschreibung der konkreten Vorgehensweise in Absatz 3 ist die Formulierung aber eine andere und bezieht sich nur noch auf die kaufberechtigten Parteien. Diese sollen einen Experten beauftragen, nachdem sie ihre Kaufabsicht innert 30 Tagen mitgeteilt haben und eine Einigung innert weiteren 20 Tagen nicht erfolgte ("</w:t>
      </w:r>
    </w:p>
    <w:p>
      <w:r>
        <w:t>The Parties who intend to exercise the Purchase Option (...)</w:t>
      </w:r>
    </w:p>
    <w:p>
      <w:r>
        <w:t>shall thereafter commence the valuation procedure by mandating the Expert (...) "; Herv. beigefügt). Der ABV differenziert also zwischen dem</w:t>
      </w:r>
    </w:p>
    <w:p>
      <w:r>
        <w:t>Recht beider Parteien, eine Expertise nach den vorgegebenen Modalitäten zu beantragen, und der</w:t>
      </w:r>
    </w:p>
    <w:p>
      <w:r>
        <w:t>Obliegenheit der kaufberechtigten Partei, einen Experten zu bestellen, nachdem die Kaufabsicht einmal bekannt gegeben wurde und keine Einigung getroffen werden konnte.</w:t>
      </w:r>
    </w:p>
    <w:p>
      <w:r>
        <w:t>Die Regelung in Absatz 3 geht damit davon aus, dass die Partei, die das Verfahren durch ihre Absichtserklärung eingeleitet hat, dieses auch fortsetzen soll. Dass hierfür keine Frist bestimmt wird, lässt sich ohne Weiteres auch so verstehen, dass davon ausgegangen wird, die Partei verhalte sich konsequent - das heisst, nach Erklärung ihrer Absicht auf Ausübung des Kaufrechts leite sie den nächsten zur Realisierung dieses Rechts erforderlichen Schritt ein, sollte dieser nicht durch eine Einigung überflüssig werden. Dass damit entgegen der Auffassung des Beschwerdegegners keine "ewige Option " ermöglicht wird, ergibt sich aus folgender Überlegung: Bis zur endgültigen Ausübung des Kaufrechts nach Vorliegen der Expertise oder dem dannzumaligen Verzicht darauf befindet sich das Geschäft in einem Schwebezustand, der die Parteien zu einem Verhalten nach Treu und Glauben verpflichtet (GAUCH/SCHLUEP/SCHMID/EMMENEGGER, Schweizerisches Obligationenrecht, Allgemeiner Teil, Bd. II, 10. Aufl. 2014, S. 380 Rz. 3995). Ein Hinauszögern der Expertenbestellung ohne sachlichen Grund würde dem widersprechen und könnte zu einem Verwirken der Kaufoption führen. Vorliegend hat sich die Sache aber nach den Feststellungen der Vorinstanz verzögert, weil die Beschwerdeführerin Mitte Dezember 2013 vorerst fälschlicherweise bei der Zürcher Handelskammer um Mediation ersucht hat. Es fehlen Anhaltspunkte für ein treuwidriges Hinauszögern, namentlich zur Spekulation hinsichtlich Wertveränderungen, zumal die Klägerin die Sache ja vorantrieb, wenn auch auf falschem Wege.</w:t>
      </w:r>
    </w:p>
    <w:p>
      <w:r>
        <w:t>Zusammenfassend ergibt sich aus teleologischen Überlegungen nicht, dass eine Frist von 20 Tagen auch zur Einleitung des Expertiseverfahrens vorgeschrieben ist.</w:t>
      </w:r>
    </w:p>
    <w:p>
      <w:r>
        <w:rPr>
          <w:b/>
        </w:rPr>
        <w:t>E. 6.1</w:t>
      </w:r>
    </w:p>
    <w:p>
      <w:r>
        <w:t>Die Vorinstanz erwog, die Systematik von Ziffer 13.6.4 ABV spreche gegen ein Verständnis der 20-Tage-Frist als blosse Einigungsfrist. Absatz 1 regle zunächst die allgemeinen Grundsätze wie die Anzeige des Kaufrechtsfalls, die Berechtigung zur Ausübung des Kaufrechts, die Massgeblichkeit des Marktwertes, den Bewertungsstichtag und die Stundung des Kaufpreises. Absatz 2 regle das Vorgehen zur Bestimmung des Kaufpreises für den Fall, dass sich die Parteien darüber nicht einigen können. In Absatz 3 würden sodann die Fristen festgelegt, die bei diesen Abläufen einzuhalten seien. Dabei hätten die Parteien ein striktes Fristensystem gewählt. Das zeige ihre Absicht, soweit es in ihrem Einflussbereich liege, einen engen und klaren zeitlichen Rahmen vorzugeben. Komme hinzu, dass die der Expertenbestellung vorangehende Einigung der Parteien in Absatz 2 lediglich als allgemeine einleitende Bemerkung formuliert sei ("If the Parties cannot agree on the fair market value, each Party may request its determination by an experienced international accounting firm [...]"). Hingegen sei im weiteren Wortlaut von Absatz 2 nicht mehr weiter vom Einigungsprozedere die Rede. Die Einigung werde nicht als förmlicher, zwingend einzuhaltender Verfahrensschritt im ganzen Ablauf geregelt. Wäre die Bestellung des Experten zeitlich unbefristet möglich, so verlöre schliesslich die an das Vorliegen der Expertise anschliessende 20-tägige Frist für den definitiven Ausübungsentscheid weitgehend ihre Bedeutung als zeitliche Begrenzung des Verfahrensablaufs.</w:t>
      </w:r>
    </w:p>
    <w:p>
      <w:r>
        <w:rPr>
          <w:b/>
        </w:rPr>
        <w:t>E. 6.2</w:t>
      </w:r>
    </w:p>
    <w:p>
      <w:r>
        <w:t>Aus Absatz 2 folgt wie bereits erwähnt, dass der Preis entweder über eine Einigung oder über eine Expertise bestimmt werden soll. Dass für die Expertise bestimmte Eckwerte festgelegt werden müssen (z.B. betreffend Qualifikation der Expertin oder dass kein Paketzuschlag zu berücksichtigen ist), liegt auf der Hand. Für eine Einigung bedarf es keiner solchen Vorgaben. Eine Einigung ist eine Einigung und weshalb eine Partei den Vorschlag der andern akzeptiert, ist irrelevant. Also muss der Vertrag anders als hinsichtlich der Expertisierung auch keine detaillierten Angaben für die Einigung vorsehen. Daraus lässt sich entgegen der Vorinstanz nichts ableiten. Die Formulierung in Absatz 2 "If the Parties cannot agree on the fair market value, each Party may request (...) " ist auch nicht bloss eine "allgemeine einleitende Bemerkung"; vielmehr wird dadurch das Primat der Einigung bestimmt. Es soll eine Einigung gesucht werden und (nur) wenn das nicht gelingt, soll die (kostspielige) Expertise den Unternehmenswert bestimmen. Das macht auch Sinn. Damit ergibt sich aus systematischer Sicht aber gerade ein starkes Indiz gegen das Verständnis der 20-Tage-Frist als Frist zur Expertenbestellung. Es ist offensichtlich - davon gehen auch Vorinstanz und Beschwerdegegner aus -, dass die 20-Tage-Frist</w:t>
      </w:r>
    </w:p>
    <w:p>
      <w:r>
        <w:t>jedenfalls eine Einigungsfrist ist. Wäre sie gleichzeitig die Frist zur Bestellung des Experten, würden aber für den Einigungsversuch nicht die vollen 20 Tage zur Verfügung stehen. Vielmehr müsste die Ernennung des Bewertungsexperten noch vor dem Ablauf der Frist in die Wege geleitet werden.</w:t>
      </w:r>
    </w:p>
    <w:p>
      <w:r>
        <w:t>Aufgrund der obigen Ausführungen zur teleologischen Auslegung verliert das Argument der gewollten straffen Fristen weitgehend seine Bedeutung. Hinzu kommt, dass sowohl die Erklärung zu Beginn des Prozederes, dass die Absicht zur Ausübung des Kaufrechts bestehe, als auch diejenige am Schluss, dass das Kaufrecht nun definitiv ausgeübt werde, einen entsprechenden</w:t>
      </w:r>
    </w:p>
    <w:p>
      <w:r>
        <w:t>Entscheid der kaufberechtigten Parteien voraussetzt. Dass hierfür ebenso wie für die Einigungsverhandlungen eine Frist gesetzt wird, ist konsequent. Demgegenüber setzt die Einleitung der Expertenbestellung keinen solchen Entscheid voraus.</w:t>
      </w:r>
    </w:p>
    <w:p>
      <w:r>
        <w:rPr>
          <w:b/>
        </w:rPr>
        <w:t>E. 7</w:t>
      </w:r>
    </w:p>
    <w:p>
      <w:r>
        <w:t>Zusammenfassend ergibt eine Auslegung nach dem Vertrauensprinzip, dass für die Einleitung der Expertenbestellung keine Verwirkungsfrist (von 20 Tagen) festgelegt wurde. Nachdem die Auslegung zu einem Ergebnis führt, besteht kein Raum für eine Anwendung des Grundsatzes "in dubio contra stipulatorem " (vgl. Urteil 4A_502/2016 vom 6. Februar 2017 E. 4.3 mit Hinweisen), sodass auf die vom Beschwerdegegner erneut thematisierte Frage, inwieweit diese Auslegungsregel auch auf von einer Partei formulierte Aktionärbindungsverträge anwendbar ist, nicht einzugehen ist.</w:t>
      </w:r>
    </w:p>
    <w:p>
      <w:r>
        <w:rPr>
          <w:b/>
        </w:rPr>
        <w:t>E. 8</w:t>
      </w:r>
    </w:p>
    <w:p>
      <w:r>
        <w:t>Demzufolge ist das angefochtene Urteil aufzuheben. Auf die Klage ist nicht einzutreten, soweit sie den Umfang des Kaufrechts an den vom Beschwerdegegner gehaltenen Aktien der Beschwerdeführerin betrifft (vgl. E. 2). Im Wesentlichen ist die Beschwerde aber gutzuheissen und es ist festzustellen, dass für die Bestimmung des Marktwerts der vom Beschwerdegegner gehaltenen Aktien der Beschwerdeführerin ein Experte zu ernennen ist.</w:t>
      </w:r>
    </w:p>
    <w:p>
      <w:r>
        <w:rPr>
          <w:b/>
        </w:rPr>
        <w:t>E. 9</w:t>
      </w:r>
    </w:p>
    <w:p>
      <w:r>
        <w:t>Dem Ausgang des Verfahrens entsprechend wird der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